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11DEF" w14:textId="1B132B68" w:rsidR="00E802DD" w:rsidRPr="00221653" w:rsidRDefault="00E802DD" w:rsidP="00E802DD">
      <w:pPr>
        <w:spacing w:after="0"/>
        <w:rPr>
          <w:rFonts w:ascii="Arial" w:hAnsi="Arial" w:cs="Arial"/>
          <w:sz w:val="24"/>
          <w:szCs w:val="24"/>
        </w:rPr>
      </w:pPr>
      <w:bookmarkStart w:id="0" w:name="_GoBack"/>
      <w:bookmarkEnd w:id="0"/>
      <w:r w:rsidRPr="00221653">
        <w:rPr>
          <w:rFonts w:ascii="Arial" w:hAnsi="Arial" w:cs="Arial"/>
          <w:sz w:val="24"/>
          <w:szCs w:val="24"/>
        </w:rPr>
        <w:t xml:space="preserve">Bogotá, D.C., </w:t>
      </w:r>
      <w:r w:rsidR="00E77D63">
        <w:rPr>
          <w:rFonts w:ascii="Arial" w:hAnsi="Arial" w:cs="Arial"/>
          <w:sz w:val="24"/>
          <w:szCs w:val="24"/>
        </w:rPr>
        <w:t>Septiembre 28</w:t>
      </w:r>
      <w:r w:rsidRPr="00221653">
        <w:rPr>
          <w:rFonts w:ascii="Arial" w:hAnsi="Arial" w:cs="Arial"/>
          <w:sz w:val="24"/>
          <w:szCs w:val="24"/>
        </w:rPr>
        <w:t xml:space="preserve"> de 2015</w:t>
      </w:r>
    </w:p>
    <w:p w14:paraId="59C63DC7" w14:textId="77777777" w:rsidR="00E802DD" w:rsidRDefault="00E802DD" w:rsidP="00E802DD">
      <w:pPr>
        <w:spacing w:after="0"/>
        <w:rPr>
          <w:rFonts w:ascii="Arial" w:hAnsi="Arial" w:cs="Arial"/>
          <w:b/>
          <w:sz w:val="24"/>
          <w:szCs w:val="24"/>
        </w:rPr>
      </w:pPr>
    </w:p>
    <w:p w14:paraId="253CE0F9" w14:textId="77777777" w:rsidR="00E802DD" w:rsidRDefault="00E802DD" w:rsidP="00E802DD">
      <w:pPr>
        <w:spacing w:after="0"/>
        <w:rPr>
          <w:rFonts w:ascii="Arial" w:hAnsi="Arial" w:cs="Arial"/>
          <w:b/>
          <w:sz w:val="24"/>
          <w:szCs w:val="24"/>
        </w:rPr>
      </w:pPr>
    </w:p>
    <w:p w14:paraId="2B8F7697" w14:textId="77777777" w:rsidR="00E802DD" w:rsidRPr="00221653" w:rsidRDefault="00E802DD" w:rsidP="00E802DD">
      <w:pPr>
        <w:spacing w:after="0"/>
        <w:rPr>
          <w:rFonts w:ascii="Arial" w:hAnsi="Arial" w:cs="Arial"/>
          <w:sz w:val="24"/>
          <w:szCs w:val="24"/>
        </w:rPr>
      </w:pPr>
      <w:r>
        <w:rPr>
          <w:rFonts w:ascii="Arial" w:hAnsi="Arial" w:cs="Arial"/>
          <w:sz w:val="24"/>
          <w:szCs w:val="24"/>
        </w:rPr>
        <w:t>Doctor</w:t>
      </w:r>
    </w:p>
    <w:p w14:paraId="39C5594B" w14:textId="77D9599F" w:rsidR="00E802DD" w:rsidRDefault="00E802DD" w:rsidP="00E802DD">
      <w:pPr>
        <w:spacing w:after="0"/>
        <w:rPr>
          <w:rFonts w:ascii="Arial" w:hAnsi="Arial" w:cs="Arial"/>
          <w:b/>
          <w:sz w:val="24"/>
          <w:szCs w:val="24"/>
        </w:rPr>
      </w:pPr>
      <w:r>
        <w:rPr>
          <w:rFonts w:ascii="Arial" w:hAnsi="Arial" w:cs="Arial"/>
          <w:b/>
          <w:sz w:val="24"/>
          <w:szCs w:val="24"/>
        </w:rPr>
        <w:t>MIGUEL ÁNGEL PINTO HERNÁNDEZ</w:t>
      </w:r>
    </w:p>
    <w:p w14:paraId="62FF754D" w14:textId="77777777" w:rsidR="00E802DD" w:rsidRPr="00221653" w:rsidRDefault="00E802DD" w:rsidP="00E802DD">
      <w:pPr>
        <w:spacing w:after="0"/>
        <w:rPr>
          <w:rFonts w:ascii="Arial" w:hAnsi="Arial" w:cs="Arial"/>
          <w:sz w:val="24"/>
          <w:szCs w:val="24"/>
        </w:rPr>
      </w:pPr>
      <w:r>
        <w:rPr>
          <w:rFonts w:ascii="Arial" w:hAnsi="Arial" w:cs="Arial"/>
          <w:sz w:val="24"/>
          <w:szCs w:val="24"/>
        </w:rPr>
        <w:t>Presidente</w:t>
      </w:r>
    </w:p>
    <w:p w14:paraId="7D43E9C1" w14:textId="644C33FA" w:rsidR="00E802DD" w:rsidRDefault="00E802DD" w:rsidP="00E802DD">
      <w:pPr>
        <w:spacing w:after="0"/>
        <w:rPr>
          <w:rFonts w:ascii="Arial" w:hAnsi="Arial" w:cs="Arial"/>
          <w:sz w:val="24"/>
          <w:szCs w:val="24"/>
        </w:rPr>
      </w:pPr>
      <w:r>
        <w:rPr>
          <w:rFonts w:ascii="Arial" w:hAnsi="Arial" w:cs="Arial"/>
          <w:sz w:val="24"/>
          <w:szCs w:val="24"/>
        </w:rPr>
        <w:t>Comisión Primera Constitucional Permanente</w:t>
      </w:r>
    </w:p>
    <w:p w14:paraId="316B88B3" w14:textId="4E9B0F59" w:rsidR="00E802DD" w:rsidRPr="00221653" w:rsidRDefault="00E802DD" w:rsidP="00E802DD">
      <w:pPr>
        <w:spacing w:after="0"/>
        <w:rPr>
          <w:rFonts w:ascii="Arial" w:hAnsi="Arial" w:cs="Arial"/>
          <w:sz w:val="24"/>
          <w:szCs w:val="24"/>
        </w:rPr>
      </w:pPr>
      <w:r>
        <w:rPr>
          <w:rFonts w:ascii="Arial" w:hAnsi="Arial" w:cs="Arial"/>
          <w:sz w:val="24"/>
          <w:szCs w:val="24"/>
        </w:rPr>
        <w:t>Cámara de Representantes</w:t>
      </w:r>
    </w:p>
    <w:p w14:paraId="056810F9" w14:textId="77777777" w:rsidR="00E802DD" w:rsidRPr="00221653" w:rsidRDefault="00E802DD" w:rsidP="00E802DD">
      <w:pPr>
        <w:spacing w:after="0"/>
        <w:rPr>
          <w:rFonts w:ascii="Arial" w:hAnsi="Arial" w:cs="Arial"/>
          <w:sz w:val="24"/>
          <w:szCs w:val="24"/>
        </w:rPr>
      </w:pPr>
      <w:r w:rsidRPr="00221653">
        <w:rPr>
          <w:rFonts w:ascii="Arial" w:hAnsi="Arial" w:cs="Arial"/>
          <w:sz w:val="24"/>
          <w:szCs w:val="24"/>
        </w:rPr>
        <w:t>Ciudad</w:t>
      </w:r>
    </w:p>
    <w:p w14:paraId="045FE10D" w14:textId="77777777" w:rsidR="00E802DD" w:rsidRPr="00221653" w:rsidRDefault="00E802DD" w:rsidP="00E802DD">
      <w:pPr>
        <w:spacing w:after="0"/>
        <w:rPr>
          <w:rFonts w:ascii="Arial" w:hAnsi="Arial" w:cs="Arial"/>
          <w:sz w:val="24"/>
          <w:szCs w:val="24"/>
        </w:rPr>
      </w:pPr>
    </w:p>
    <w:p w14:paraId="6D4952DD" w14:textId="77777777" w:rsidR="00E802DD" w:rsidRPr="00221653" w:rsidRDefault="00E802DD" w:rsidP="00E802DD">
      <w:pPr>
        <w:spacing w:after="0"/>
        <w:jc w:val="right"/>
        <w:rPr>
          <w:rFonts w:ascii="Arial" w:hAnsi="Arial" w:cs="Arial"/>
          <w:sz w:val="24"/>
          <w:szCs w:val="24"/>
        </w:rPr>
      </w:pPr>
    </w:p>
    <w:p w14:paraId="30FCC965" w14:textId="53BDF6DF" w:rsidR="00E802DD" w:rsidRPr="00221653" w:rsidRDefault="00E802DD" w:rsidP="00E802DD">
      <w:pPr>
        <w:spacing w:after="0"/>
        <w:ind w:left="2832"/>
        <w:rPr>
          <w:rFonts w:ascii="Arial" w:hAnsi="Arial" w:cs="Arial"/>
          <w:sz w:val="24"/>
          <w:szCs w:val="24"/>
        </w:rPr>
      </w:pPr>
      <w:r w:rsidRPr="00A40684">
        <w:rPr>
          <w:rFonts w:ascii="Arial" w:hAnsi="Arial" w:cs="Arial"/>
          <w:b/>
          <w:sz w:val="24"/>
          <w:szCs w:val="24"/>
        </w:rPr>
        <w:t>Asunto:</w:t>
      </w:r>
      <w:r w:rsidRPr="00221653">
        <w:rPr>
          <w:rFonts w:ascii="Arial" w:hAnsi="Arial" w:cs="Arial"/>
          <w:sz w:val="24"/>
          <w:szCs w:val="24"/>
        </w:rPr>
        <w:t xml:space="preserve"> Informe de </w:t>
      </w:r>
      <w:r>
        <w:rPr>
          <w:rFonts w:ascii="Arial" w:hAnsi="Arial" w:cs="Arial"/>
          <w:sz w:val="24"/>
          <w:szCs w:val="24"/>
        </w:rPr>
        <w:t xml:space="preserve">ponencia para primer debate al Proyecto de Ley </w:t>
      </w:r>
      <w:r w:rsidR="0021326E">
        <w:rPr>
          <w:rFonts w:ascii="Arial" w:hAnsi="Arial" w:cs="Arial"/>
          <w:sz w:val="24"/>
          <w:szCs w:val="24"/>
        </w:rPr>
        <w:t>Estatutaria No.</w:t>
      </w:r>
      <w:r>
        <w:rPr>
          <w:rFonts w:ascii="Arial" w:hAnsi="Arial" w:cs="Arial"/>
          <w:sz w:val="24"/>
          <w:szCs w:val="24"/>
        </w:rPr>
        <w:t xml:space="preserve"> 095</w:t>
      </w:r>
      <w:r w:rsidR="0021326E">
        <w:rPr>
          <w:rFonts w:ascii="Arial" w:hAnsi="Arial" w:cs="Arial"/>
          <w:sz w:val="24"/>
          <w:szCs w:val="24"/>
        </w:rPr>
        <w:t>/</w:t>
      </w:r>
      <w:r>
        <w:rPr>
          <w:rFonts w:ascii="Arial" w:hAnsi="Arial" w:cs="Arial"/>
          <w:sz w:val="24"/>
          <w:szCs w:val="24"/>
        </w:rPr>
        <w:t>15</w:t>
      </w:r>
      <w:r w:rsidRPr="00221653">
        <w:rPr>
          <w:rFonts w:ascii="Arial" w:hAnsi="Arial" w:cs="Arial"/>
          <w:sz w:val="24"/>
          <w:szCs w:val="24"/>
        </w:rPr>
        <w:t xml:space="preserve"> </w:t>
      </w:r>
      <w:r w:rsidR="0021326E">
        <w:rPr>
          <w:rFonts w:ascii="Arial" w:hAnsi="Arial" w:cs="Arial"/>
          <w:sz w:val="24"/>
          <w:szCs w:val="24"/>
        </w:rPr>
        <w:t>–</w:t>
      </w:r>
      <w:r>
        <w:rPr>
          <w:rFonts w:ascii="Arial" w:hAnsi="Arial" w:cs="Arial"/>
          <w:sz w:val="24"/>
          <w:szCs w:val="24"/>
        </w:rPr>
        <w:t>Cámara</w:t>
      </w:r>
      <w:r w:rsidR="0021326E">
        <w:rPr>
          <w:rFonts w:ascii="Arial" w:hAnsi="Arial" w:cs="Arial"/>
          <w:sz w:val="24"/>
          <w:szCs w:val="24"/>
        </w:rPr>
        <w:t>-</w:t>
      </w:r>
      <w:r>
        <w:rPr>
          <w:rFonts w:ascii="Arial" w:hAnsi="Arial" w:cs="Arial"/>
          <w:sz w:val="24"/>
          <w:szCs w:val="24"/>
        </w:rPr>
        <w:t>.</w:t>
      </w:r>
    </w:p>
    <w:p w14:paraId="6CC6EAC0" w14:textId="77777777" w:rsidR="00E802DD" w:rsidRPr="00221653" w:rsidRDefault="00E802DD" w:rsidP="00E802DD">
      <w:pPr>
        <w:spacing w:after="0"/>
        <w:jc w:val="center"/>
        <w:rPr>
          <w:rFonts w:ascii="Arial" w:hAnsi="Arial" w:cs="Arial"/>
          <w:i/>
          <w:sz w:val="24"/>
          <w:szCs w:val="24"/>
        </w:rPr>
      </w:pPr>
    </w:p>
    <w:p w14:paraId="2628B765" w14:textId="77777777" w:rsidR="00E802DD" w:rsidRPr="00221653" w:rsidRDefault="00E802DD" w:rsidP="00E802DD">
      <w:pPr>
        <w:spacing w:after="0"/>
        <w:rPr>
          <w:rFonts w:ascii="Arial" w:hAnsi="Arial" w:cs="Arial"/>
          <w:sz w:val="24"/>
          <w:szCs w:val="24"/>
        </w:rPr>
      </w:pPr>
    </w:p>
    <w:p w14:paraId="03106A0C" w14:textId="77777777" w:rsidR="00E802DD" w:rsidRPr="00221653" w:rsidRDefault="00E802DD" w:rsidP="00E802DD">
      <w:pPr>
        <w:spacing w:after="0"/>
        <w:rPr>
          <w:rFonts w:ascii="Arial" w:hAnsi="Arial" w:cs="Arial"/>
          <w:sz w:val="24"/>
          <w:szCs w:val="24"/>
        </w:rPr>
      </w:pPr>
      <w:r>
        <w:rPr>
          <w:rFonts w:ascii="Arial" w:hAnsi="Arial" w:cs="Arial"/>
          <w:sz w:val="24"/>
          <w:szCs w:val="24"/>
        </w:rPr>
        <w:t>Respetado señor</w:t>
      </w:r>
      <w:r w:rsidRPr="00221653">
        <w:rPr>
          <w:rFonts w:ascii="Arial" w:hAnsi="Arial" w:cs="Arial"/>
          <w:sz w:val="24"/>
          <w:szCs w:val="24"/>
        </w:rPr>
        <w:t xml:space="preserve"> </w:t>
      </w:r>
      <w:r>
        <w:rPr>
          <w:rFonts w:ascii="Arial" w:hAnsi="Arial" w:cs="Arial"/>
          <w:sz w:val="24"/>
          <w:szCs w:val="24"/>
        </w:rPr>
        <w:t>Presidente</w:t>
      </w:r>
      <w:r w:rsidRPr="00221653">
        <w:rPr>
          <w:rFonts w:ascii="Arial" w:hAnsi="Arial" w:cs="Arial"/>
          <w:sz w:val="24"/>
          <w:szCs w:val="24"/>
        </w:rPr>
        <w:t>:</w:t>
      </w:r>
    </w:p>
    <w:p w14:paraId="27C1055C" w14:textId="77777777" w:rsidR="00E802DD" w:rsidRPr="00221653" w:rsidRDefault="00E802DD" w:rsidP="00E802DD">
      <w:pPr>
        <w:spacing w:after="0"/>
        <w:jc w:val="both"/>
        <w:rPr>
          <w:rFonts w:ascii="Arial" w:hAnsi="Arial" w:cs="Arial"/>
          <w:i/>
          <w:sz w:val="24"/>
          <w:szCs w:val="24"/>
        </w:rPr>
      </w:pPr>
    </w:p>
    <w:p w14:paraId="32F75A57" w14:textId="557F1EEF" w:rsidR="00E802DD" w:rsidRDefault="00E802DD" w:rsidP="00E802DD">
      <w:pPr>
        <w:spacing w:after="0"/>
        <w:jc w:val="both"/>
        <w:rPr>
          <w:rFonts w:ascii="Arial" w:hAnsi="Arial" w:cs="Arial"/>
          <w:sz w:val="24"/>
          <w:szCs w:val="24"/>
        </w:rPr>
      </w:pPr>
      <w:r w:rsidRPr="009341EE">
        <w:rPr>
          <w:rFonts w:ascii="Arial" w:hAnsi="Arial" w:cs="Arial"/>
          <w:sz w:val="24"/>
          <w:szCs w:val="24"/>
        </w:rPr>
        <w:t xml:space="preserve">Atendiendo la designación que me hizo como ponente y de conformidad con lo dispuesto en la Constitución Política y en la Ley 5ª de 1992, me permito rendir informe de ponencia para primer debate al Proyecto de Ley </w:t>
      </w:r>
      <w:r w:rsidR="0021326E">
        <w:rPr>
          <w:rFonts w:ascii="Arial" w:hAnsi="Arial" w:cs="Arial"/>
          <w:sz w:val="24"/>
          <w:szCs w:val="24"/>
        </w:rPr>
        <w:t>Estatutaria No.</w:t>
      </w:r>
      <w:r w:rsidRPr="009341EE">
        <w:rPr>
          <w:rFonts w:ascii="Arial" w:hAnsi="Arial" w:cs="Arial"/>
          <w:sz w:val="24"/>
          <w:szCs w:val="24"/>
        </w:rPr>
        <w:t xml:space="preserve"> 095</w:t>
      </w:r>
      <w:r w:rsidR="0021326E">
        <w:rPr>
          <w:rFonts w:ascii="Arial" w:hAnsi="Arial" w:cs="Arial"/>
          <w:sz w:val="24"/>
          <w:szCs w:val="24"/>
        </w:rPr>
        <w:t>/15 Cámara “P</w:t>
      </w:r>
      <w:r w:rsidRPr="009341EE">
        <w:rPr>
          <w:rFonts w:ascii="Arial" w:hAnsi="Arial" w:cs="Arial"/>
          <w:sz w:val="24"/>
          <w:szCs w:val="24"/>
        </w:rPr>
        <w:t>or medio de la cual se modifica y adiciona la Ley Estatutaria 1266 de 2008, y se dictan disposiciones generales del Hábeas Data con relación a la información financiera, crediticia, comercial, de servicios y la proveniente de terceros países y se dictan otras disposiciones</w:t>
      </w:r>
      <w:r w:rsidRPr="009341EE">
        <w:rPr>
          <w:rFonts w:ascii="Arial" w:hAnsi="Arial" w:cs="Arial"/>
          <w:i/>
          <w:sz w:val="24"/>
          <w:szCs w:val="24"/>
        </w:rPr>
        <w:t>”</w:t>
      </w:r>
      <w:r w:rsidRPr="009341EE">
        <w:rPr>
          <w:rFonts w:ascii="Arial" w:hAnsi="Arial" w:cs="Arial"/>
          <w:sz w:val="24"/>
          <w:szCs w:val="24"/>
        </w:rPr>
        <w:t>, en los siguientes términos:</w:t>
      </w:r>
      <w:r w:rsidRPr="00221653">
        <w:rPr>
          <w:rFonts w:ascii="Arial" w:hAnsi="Arial" w:cs="Arial"/>
          <w:sz w:val="24"/>
          <w:szCs w:val="24"/>
        </w:rPr>
        <w:t xml:space="preserve"> </w:t>
      </w:r>
    </w:p>
    <w:p w14:paraId="067F86C0" w14:textId="77777777" w:rsidR="00E802DD" w:rsidRDefault="00E802DD">
      <w:pPr>
        <w:rPr>
          <w:rFonts w:ascii="Arial" w:hAnsi="Arial" w:cs="Arial"/>
          <w:b/>
          <w:sz w:val="24"/>
          <w:szCs w:val="24"/>
        </w:rPr>
      </w:pPr>
    </w:p>
    <w:p w14:paraId="6DB55BB8" w14:textId="77777777" w:rsidR="0056789C" w:rsidRPr="00A74159" w:rsidRDefault="0056789C">
      <w:pPr>
        <w:rPr>
          <w:rFonts w:ascii="Arial" w:hAnsi="Arial" w:cs="Arial"/>
          <w:b/>
          <w:sz w:val="24"/>
          <w:szCs w:val="24"/>
        </w:rPr>
      </w:pPr>
      <w:r w:rsidRPr="00A74159">
        <w:rPr>
          <w:rFonts w:ascii="Arial" w:hAnsi="Arial" w:cs="Arial"/>
          <w:b/>
          <w:sz w:val="24"/>
          <w:szCs w:val="24"/>
        </w:rPr>
        <w:t>Consideraciones Preliminares</w:t>
      </w:r>
    </w:p>
    <w:p w14:paraId="618C94C8" w14:textId="71DDCCEF" w:rsidR="000A7EFB" w:rsidRPr="00A74159" w:rsidRDefault="00602573" w:rsidP="0056789C">
      <w:pPr>
        <w:jc w:val="both"/>
        <w:rPr>
          <w:rFonts w:ascii="Arial" w:hAnsi="Arial" w:cs="Arial"/>
          <w:sz w:val="24"/>
          <w:szCs w:val="24"/>
        </w:rPr>
      </w:pPr>
      <w:r w:rsidRPr="00A74159">
        <w:rPr>
          <w:rFonts w:ascii="Arial" w:hAnsi="Arial" w:cs="Arial"/>
          <w:sz w:val="24"/>
          <w:szCs w:val="24"/>
        </w:rPr>
        <w:t xml:space="preserve">La Ley </w:t>
      </w:r>
      <w:r w:rsidR="0056789C" w:rsidRPr="00A74159">
        <w:rPr>
          <w:rFonts w:ascii="Arial" w:hAnsi="Arial" w:cs="Arial"/>
          <w:sz w:val="24"/>
          <w:szCs w:val="24"/>
        </w:rPr>
        <w:t xml:space="preserve">1266 de 2008 significó para Colombia </w:t>
      </w:r>
      <w:r w:rsidRPr="00A74159">
        <w:rPr>
          <w:rFonts w:ascii="Arial" w:hAnsi="Arial" w:cs="Arial"/>
          <w:sz w:val="24"/>
          <w:szCs w:val="24"/>
        </w:rPr>
        <w:t>un gran avance en la modernización normativa para la protección de datos</w:t>
      </w:r>
      <w:r w:rsidR="006B6415">
        <w:rPr>
          <w:rFonts w:ascii="Arial" w:hAnsi="Arial" w:cs="Arial"/>
          <w:sz w:val="24"/>
          <w:szCs w:val="24"/>
        </w:rPr>
        <w:t xml:space="preserve"> financieros personales</w:t>
      </w:r>
      <w:r w:rsidRPr="00A74159">
        <w:rPr>
          <w:rFonts w:ascii="Arial" w:hAnsi="Arial" w:cs="Arial"/>
          <w:sz w:val="24"/>
          <w:szCs w:val="24"/>
        </w:rPr>
        <w:t>.</w:t>
      </w:r>
      <w:r w:rsidR="00F419AD" w:rsidRPr="00A74159">
        <w:rPr>
          <w:rFonts w:ascii="Arial" w:hAnsi="Arial" w:cs="Arial"/>
          <w:sz w:val="24"/>
          <w:szCs w:val="24"/>
        </w:rPr>
        <w:t xml:space="preserve"> Antes de ésta</w:t>
      </w:r>
      <w:r w:rsidR="006B6415">
        <w:rPr>
          <w:rFonts w:ascii="Arial" w:hAnsi="Arial" w:cs="Arial"/>
          <w:sz w:val="24"/>
          <w:szCs w:val="24"/>
        </w:rPr>
        <w:t>, solo los desarrollos jurisprudenciales de la Corte Constitucional profundizaban sobre el tema.</w:t>
      </w:r>
      <w:r w:rsidR="00F419AD" w:rsidRPr="00A74159">
        <w:rPr>
          <w:rFonts w:ascii="Arial" w:hAnsi="Arial" w:cs="Arial"/>
          <w:sz w:val="24"/>
          <w:szCs w:val="24"/>
        </w:rPr>
        <w:t xml:space="preserve"> (Escobar, Andrés F; Pajarito, Monica P. 2014: 8). Además, le</w:t>
      </w:r>
      <w:r w:rsidR="005E7493" w:rsidRPr="00A74159">
        <w:rPr>
          <w:rFonts w:ascii="Arial" w:hAnsi="Arial" w:cs="Arial"/>
          <w:sz w:val="24"/>
          <w:szCs w:val="24"/>
        </w:rPr>
        <w:t xml:space="preserve"> dio sentido factual al artículo 15 de la Carta política que establece: </w:t>
      </w:r>
    </w:p>
    <w:p w14:paraId="6934AF12" w14:textId="57D91BEE" w:rsidR="0056789C" w:rsidRPr="00A74159" w:rsidRDefault="000A7EFB" w:rsidP="000A7EFB">
      <w:pPr>
        <w:ind w:left="284" w:right="284"/>
        <w:jc w:val="both"/>
        <w:rPr>
          <w:rFonts w:ascii="Arial" w:hAnsi="Arial" w:cs="Arial"/>
          <w:sz w:val="24"/>
          <w:szCs w:val="24"/>
        </w:rPr>
      </w:pPr>
      <w:r w:rsidRPr="00A74159">
        <w:rPr>
          <w:rFonts w:ascii="Arial" w:hAnsi="Arial" w:cs="Arial"/>
          <w:sz w:val="24"/>
          <w:szCs w:val="24"/>
        </w:rPr>
        <w:lastRenderedPageBreak/>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 (…)”</w:t>
      </w:r>
      <w:r w:rsidR="00E456A0">
        <w:rPr>
          <w:rFonts w:ascii="Arial" w:hAnsi="Arial" w:cs="Arial"/>
          <w:sz w:val="24"/>
          <w:szCs w:val="24"/>
        </w:rPr>
        <w:t xml:space="preserve"> (Constitución Política de Colombia, art. 15.)</w:t>
      </w:r>
    </w:p>
    <w:p w14:paraId="252D2D64" w14:textId="0D2A58D4" w:rsidR="009D3F48" w:rsidRPr="00A74159" w:rsidRDefault="006B6415" w:rsidP="000A7EFB">
      <w:pPr>
        <w:ind w:right="284"/>
        <w:jc w:val="both"/>
        <w:rPr>
          <w:rFonts w:ascii="Arial" w:hAnsi="Arial" w:cs="Arial"/>
          <w:sz w:val="24"/>
          <w:szCs w:val="24"/>
        </w:rPr>
      </w:pPr>
      <w:r>
        <w:rPr>
          <w:rFonts w:ascii="Arial" w:hAnsi="Arial" w:cs="Arial"/>
          <w:sz w:val="24"/>
          <w:szCs w:val="24"/>
        </w:rPr>
        <w:t xml:space="preserve">La </w:t>
      </w:r>
      <w:r w:rsidR="00067B56">
        <w:rPr>
          <w:rFonts w:ascii="Arial" w:hAnsi="Arial" w:cs="Arial"/>
          <w:sz w:val="24"/>
          <w:szCs w:val="24"/>
        </w:rPr>
        <w:t xml:space="preserve">Ley del Hábeas Data financiero </w:t>
      </w:r>
      <w:r>
        <w:rPr>
          <w:rFonts w:ascii="Arial" w:hAnsi="Arial" w:cs="Arial"/>
          <w:sz w:val="24"/>
          <w:szCs w:val="24"/>
        </w:rPr>
        <w:t>hoy es considerada en Colombia como el principal sustrato normativo para</w:t>
      </w:r>
      <w:r w:rsidR="005E7493" w:rsidRPr="00A74159">
        <w:rPr>
          <w:rFonts w:ascii="Arial" w:hAnsi="Arial" w:cs="Arial"/>
          <w:sz w:val="24"/>
          <w:szCs w:val="24"/>
        </w:rPr>
        <w:t xml:space="preserve"> el tratamiento de la información financier</w:t>
      </w:r>
      <w:r>
        <w:rPr>
          <w:rFonts w:ascii="Arial" w:hAnsi="Arial" w:cs="Arial"/>
          <w:sz w:val="24"/>
          <w:szCs w:val="24"/>
        </w:rPr>
        <w:t>a y comercial de los ciudadanos.</w:t>
      </w:r>
      <w:r w:rsidR="005E7493" w:rsidRPr="00A74159">
        <w:rPr>
          <w:rFonts w:ascii="Arial" w:hAnsi="Arial" w:cs="Arial"/>
          <w:sz w:val="24"/>
          <w:szCs w:val="24"/>
        </w:rPr>
        <w:t xml:space="preserve"> </w:t>
      </w:r>
      <w:r>
        <w:rPr>
          <w:rFonts w:ascii="Arial" w:hAnsi="Arial" w:cs="Arial"/>
          <w:sz w:val="24"/>
          <w:szCs w:val="24"/>
        </w:rPr>
        <w:t>Su promulgación p</w:t>
      </w:r>
      <w:r w:rsidR="00F419AD" w:rsidRPr="00A74159">
        <w:rPr>
          <w:rFonts w:ascii="Arial" w:hAnsi="Arial" w:cs="Arial"/>
          <w:sz w:val="24"/>
          <w:szCs w:val="24"/>
        </w:rPr>
        <w:t>ermitió la apertura de la d</w:t>
      </w:r>
      <w:r w:rsidR="00D922F8">
        <w:rPr>
          <w:rFonts w:ascii="Arial" w:hAnsi="Arial" w:cs="Arial"/>
          <w:sz w:val="24"/>
          <w:szCs w:val="24"/>
        </w:rPr>
        <w:t>iscusión legislativa sobre el Há</w:t>
      </w:r>
      <w:r w:rsidR="00F419AD" w:rsidRPr="00A74159">
        <w:rPr>
          <w:rFonts w:ascii="Arial" w:hAnsi="Arial" w:cs="Arial"/>
          <w:sz w:val="24"/>
          <w:szCs w:val="24"/>
        </w:rPr>
        <w:t xml:space="preserve">beas Data </w:t>
      </w:r>
      <w:r>
        <w:rPr>
          <w:rFonts w:ascii="Arial" w:hAnsi="Arial" w:cs="Arial"/>
          <w:sz w:val="24"/>
          <w:szCs w:val="24"/>
        </w:rPr>
        <w:t xml:space="preserve">en el país </w:t>
      </w:r>
      <w:r w:rsidR="00F419AD" w:rsidRPr="00A74159">
        <w:rPr>
          <w:rFonts w:ascii="Arial" w:hAnsi="Arial" w:cs="Arial"/>
          <w:sz w:val="24"/>
          <w:szCs w:val="24"/>
        </w:rPr>
        <w:t xml:space="preserve">y </w:t>
      </w:r>
      <w:r w:rsidR="00E77D63">
        <w:rPr>
          <w:rFonts w:ascii="Arial" w:hAnsi="Arial" w:cs="Arial"/>
          <w:sz w:val="24"/>
          <w:szCs w:val="24"/>
        </w:rPr>
        <w:t>fue el alivio para millones de colombianos reportados en centrales de riesgo financiero</w:t>
      </w:r>
      <w:r w:rsidR="005E7493" w:rsidRPr="00E77D63">
        <w:rPr>
          <w:rFonts w:ascii="Arial" w:hAnsi="Arial" w:cs="Arial"/>
          <w:sz w:val="24"/>
          <w:szCs w:val="24"/>
        </w:rPr>
        <w:t>.</w:t>
      </w:r>
      <w:r w:rsidR="005E7493" w:rsidRPr="00A74159">
        <w:rPr>
          <w:rFonts w:ascii="Arial" w:hAnsi="Arial" w:cs="Arial"/>
          <w:sz w:val="24"/>
          <w:szCs w:val="24"/>
        </w:rPr>
        <w:t xml:space="preserve"> El desarrollo de </w:t>
      </w:r>
      <w:r w:rsidR="009341EE">
        <w:rPr>
          <w:rFonts w:ascii="Arial" w:hAnsi="Arial" w:cs="Arial"/>
          <w:sz w:val="24"/>
          <w:szCs w:val="24"/>
        </w:rPr>
        <w:t>este derecho fundamental</w:t>
      </w:r>
      <w:r w:rsidR="000A7EFB" w:rsidRPr="00A74159">
        <w:rPr>
          <w:rFonts w:ascii="Arial" w:hAnsi="Arial" w:cs="Arial"/>
          <w:sz w:val="24"/>
          <w:szCs w:val="24"/>
        </w:rPr>
        <w:t xml:space="preserve"> que otorga la Carta Política a los ciudadanos sobre la información que acerca de ellos repose en bases de datos</w:t>
      </w:r>
      <w:r w:rsidR="00F419AD" w:rsidRPr="00A74159">
        <w:rPr>
          <w:rFonts w:ascii="Arial" w:hAnsi="Arial" w:cs="Arial"/>
          <w:sz w:val="24"/>
          <w:szCs w:val="24"/>
        </w:rPr>
        <w:t xml:space="preserve">, </w:t>
      </w:r>
      <w:r w:rsidR="000A7EFB" w:rsidRPr="00A74159">
        <w:rPr>
          <w:rFonts w:ascii="Arial" w:hAnsi="Arial" w:cs="Arial"/>
          <w:sz w:val="24"/>
          <w:szCs w:val="24"/>
        </w:rPr>
        <w:t>ha tenido una serie de efectos positivos</w:t>
      </w:r>
      <w:r w:rsidR="004362A8" w:rsidRPr="00A74159">
        <w:rPr>
          <w:rFonts w:ascii="Arial" w:hAnsi="Arial" w:cs="Arial"/>
          <w:sz w:val="24"/>
          <w:szCs w:val="24"/>
        </w:rPr>
        <w:t xml:space="preserve"> reconocidos</w:t>
      </w:r>
      <w:r w:rsidR="000A7EFB" w:rsidRPr="00A74159">
        <w:rPr>
          <w:rFonts w:ascii="Arial" w:hAnsi="Arial" w:cs="Arial"/>
          <w:sz w:val="24"/>
          <w:szCs w:val="24"/>
        </w:rPr>
        <w:t>, particularmente económicos</w:t>
      </w:r>
      <w:r w:rsidR="00E95402" w:rsidRPr="00A74159">
        <w:rPr>
          <w:rFonts w:ascii="Arial" w:hAnsi="Arial" w:cs="Arial"/>
          <w:sz w:val="24"/>
          <w:szCs w:val="24"/>
        </w:rPr>
        <w:t>.</w:t>
      </w:r>
    </w:p>
    <w:p w14:paraId="513325BA" w14:textId="51B15312" w:rsidR="00E95402" w:rsidRPr="00A74159" w:rsidRDefault="009D3F48" w:rsidP="000A7EFB">
      <w:pPr>
        <w:ind w:right="284"/>
        <w:jc w:val="both"/>
        <w:rPr>
          <w:rFonts w:ascii="Arial" w:hAnsi="Arial" w:cs="Arial"/>
          <w:sz w:val="24"/>
          <w:szCs w:val="24"/>
        </w:rPr>
      </w:pPr>
      <w:r w:rsidRPr="00A74159">
        <w:rPr>
          <w:rFonts w:ascii="Arial" w:hAnsi="Arial" w:cs="Arial"/>
          <w:sz w:val="24"/>
          <w:szCs w:val="24"/>
        </w:rPr>
        <w:t xml:space="preserve">Uno de los aspectos más </w:t>
      </w:r>
      <w:r w:rsidR="00E61A14">
        <w:rPr>
          <w:rFonts w:ascii="Arial" w:hAnsi="Arial" w:cs="Arial"/>
          <w:sz w:val="24"/>
          <w:szCs w:val="24"/>
        </w:rPr>
        <w:t>relevantes</w:t>
      </w:r>
      <w:r w:rsidR="00C57F89">
        <w:rPr>
          <w:rFonts w:ascii="Arial" w:hAnsi="Arial" w:cs="Arial"/>
          <w:sz w:val="24"/>
          <w:szCs w:val="24"/>
        </w:rPr>
        <w:t xml:space="preserve"> de la Ley</w:t>
      </w:r>
      <w:r w:rsidRPr="00A74159">
        <w:rPr>
          <w:rFonts w:ascii="Arial" w:hAnsi="Arial" w:cs="Arial"/>
          <w:sz w:val="24"/>
          <w:szCs w:val="24"/>
        </w:rPr>
        <w:t xml:space="preserve"> radica en que </w:t>
      </w:r>
      <w:r w:rsidR="00E95402" w:rsidRPr="00A74159">
        <w:rPr>
          <w:rFonts w:ascii="Arial" w:hAnsi="Arial" w:cs="Arial"/>
          <w:sz w:val="24"/>
          <w:szCs w:val="24"/>
        </w:rPr>
        <w:t>estableció responsabilidades puntuales a las fuentes, a los operadores y a los usuarios de la información. Esto es importante, pues significa otorgar roles concretos a cada uno de los actores involucrados con el fin de garantizar el derecho fundamental</w:t>
      </w:r>
      <w:r w:rsidR="00C57F89">
        <w:rPr>
          <w:rFonts w:ascii="Arial" w:hAnsi="Arial" w:cs="Arial"/>
          <w:sz w:val="24"/>
          <w:szCs w:val="24"/>
        </w:rPr>
        <w:t xml:space="preserve"> al Hábeas Data</w:t>
      </w:r>
      <w:r w:rsidR="00E95402" w:rsidRPr="00A74159">
        <w:rPr>
          <w:rFonts w:ascii="Arial" w:hAnsi="Arial" w:cs="Arial"/>
          <w:sz w:val="24"/>
          <w:szCs w:val="24"/>
        </w:rPr>
        <w:t>.</w:t>
      </w:r>
      <w:r w:rsidRPr="00A74159">
        <w:rPr>
          <w:rFonts w:ascii="Arial" w:hAnsi="Arial" w:cs="Arial"/>
          <w:sz w:val="24"/>
          <w:szCs w:val="24"/>
        </w:rPr>
        <w:t xml:space="preserve"> Del mismo modo, le permite al ciudadano hacer efectivo su derecho, consagrado constitucionalmente, mediante peticiones, consultas o reclamos.</w:t>
      </w:r>
    </w:p>
    <w:p w14:paraId="323B2697" w14:textId="44CB8B44" w:rsidR="007B5B65" w:rsidRDefault="00C57F89" w:rsidP="000A7EFB">
      <w:pPr>
        <w:ind w:right="284"/>
        <w:jc w:val="both"/>
        <w:rPr>
          <w:rFonts w:ascii="Arial" w:hAnsi="Arial" w:cs="Arial"/>
          <w:sz w:val="24"/>
          <w:szCs w:val="24"/>
        </w:rPr>
      </w:pPr>
      <w:r>
        <w:rPr>
          <w:rFonts w:ascii="Arial" w:hAnsi="Arial" w:cs="Arial"/>
          <w:sz w:val="24"/>
          <w:szCs w:val="24"/>
        </w:rPr>
        <w:t>Para Colombia es</w:t>
      </w:r>
      <w:r w:rsidR="006010D2" w:rsidRPr="00A74159">
        <w:rPr>
          <w:rFonts w:ascii="Arial" w:hAnsi="Arial" w:cs="Arial"/>
          <w:sz w:val="24"/>
          <w:szCs w:val="24"/>
        </w:rPr>
        <w:t xml:space="preserve"> de gran importancia contar con una normativa adecuada a las transformaciones tecnológicas más recientes y que, sobre todo, garantice a los ciudadanos que </w:t>
      </w:r>
      <w:r w:rsidR="00DE2944">
        <w:rPr>
          <w:rFonts w:ascii="Arial" w:hAnsi="Arial" w:cs="Arial"/>
          <w:sz w:val="24"/>
          <w:szCs w:val="24"/>
        </w:rPr>
        <w:t>los</w:t>
      </w:r>
      <w:r w:rsidR="006010D2" w:rsidRPr="00A74159">
        <w:rPr>
          <w:rFonts w:ascii="Arial" w:hAnsi="Arial" w:cs="Arial"/>
          <w:sz w:val="24"/>
          <w:szCs w:val="24"/>
        </w:rPr>
        <w:t xml:space="preserve"> nuevos contextos de interacción entre los distintos agentes involucrados en dinámicas económicas particulares, no vulneren sus derechos. El</w:t>
      </w:r>
      <w:r w:rsidR="00D922F8">
        <w:rPr>
          <w:rFonts w:ascii="Arial" w:hAnsi="Arial" w:cs="Arial"/>
          <w:sz w:val="24"/>
          <w:szCs w:val="24"/>
        </w:rPr>
        <w:t xml:space="preserve"> trasfondo de la g</w:t>
      </w:r>
      <w:r w:rsidR="00BF6508">
        <w:rPr>
          <w:rFonts w:ascii="Arial" w:hAnsi="Arial" w:cs="Arial"/>
          <w:sz w:val="24"/>
          <w:szCs w:val="24"/>
        </w:rPr>
        <w:t>arantía del H</w:t>
      </w:r>
      <w:r w:rsidR="00D922F8">
        <w:rPr>
          <w:rFonts w:ascii="Arial" w:hAnsi="Arial" w:cs="Arial"/>
          <w:sz w:val="24"/>
          <w:szCs w:val="24"/>
        </w:rPr>
        <w:t>á</w:t>
      </w:r>
      <w:r>
        <w:rPr>
          <w:rFonts w:ascii="Arial" w:hAnsi="Arial" w:cs="Arial"/>
          <w:sz w:val="24"/>
          <w:szCs w:val="24"/>
        </w:rPr>
        <w:t>beas data es</w:t>
      </w:r>
      <w:r w:rsidR="006010D2" w:rsidRPr="00A74159">
        <w:rPr>
          <w:rFonts w:ascii="Arial" w:hAnsi="Arial" w:cs="Arial"/>
          <w:sz w:val="24"/>
          <w:szCs w:val="24"/>
        </w:rPr>
        <w:t xml:space="preserve"> en últimas, el reconocimiento del indiv</w:t>
      </w:r>
      <w:r w:rsidR="00E034EC" w:rsidRPr="00A74159">
        <w:rPr>
          <w:rFonts w:ascii="Arial" w:hAnsi="Arial" w:cs="Arial"/>
          <w:sz w:val="24"/>
          <w:szCs w:val="24"/>
        </w:rPr>
        <w:t xml:space="preserve">iduo como núcleo de la sociedad, la apertura de los esquemas legales a las nuevas realidades internacionales </w:t>
      </w:r>
      <w:r w:rsidR="00470263" w:rsidRPr="00A74159">
        <w:rPr>
          <w:rFonts w:ascii="Arial" w:hAnsi="Arial" w:cs="Arial"/>
          <w:sz w:val="24"/>
          <w:szCs w:val="24"/>
        </w:rPr>
        <w:t xml:space="preserve">con el </w:t>
      </w:r>
      <w:r w:rsidR="0027758E">
        <w:rPr>
          <w:rFonts w:ascii="Arial" w:hAnsi="Arial" w:cs="Arial"/>
          <w:sz w:val="24"/>
          <w:szCs w:val="24"/>
        </w:rPr>
        <w:t>f</w:t>
      </w:r>
      <w:r w:rsidR="00470263" w:rsidRPr="00A74159">
        <w:rPr>
          <w:rFonts w:ascii="Arial" w:hAnsi="Arial" w:cs="Arial"/>
          <w:sz w:val="24"/>
          <w:szCs w:val="24"/>
        </w:rPr>
        <w:t>in de evitar que las personas se encuentren en situaciones de vulnerabilidad por el u</w:t>
      </w:r>
      <w:r w:rsidR="005F709B" w:rsidRPr="00A74159">
        <w:rPr>
          <w:rFonts w:ascii="Arial" w:hAnsi="Arial" w:cs="Arial"/>
          <w:sz w:val="24"/>
          <w:szCs w:val="24"/>
        </w:rPr>
        <w:t>so inadecuado de su información personal.</w:t>
      </w:r>
    </w:p>
    <w:p w14:paraId="1F694D0D" w14:textId="77777777" w:rsidR="00E77D63" w:rsidRDefault="00E77D63" w:rsidP="000A7EFB">
      <w:pPr>
        <w:ind w:right="284"/>
        <w:jc w:val="both"/>
        <w:rPr>
          <w:rFonts w:ascii="Arial" w:hAnsi="Arial" w:cs="Arial"/>
          <w:sz w:val="24"/>
          <w:szCs w:val="24"/>
        </w:rPr>
      </w:pPr>
    </w:p>
    <w:p w14:paraId="2244366A" w14:textId="77777777" w:rsidR="007C6C3D" w:rsidRPr="00A74159" w:rsidRDefault="007C6C3D" w:rsidP="000A7EFB">
      <w:pPr>
        <w:ind w:right="284"/>
        <w:jc w:val="both"/>
        <w:rPr>
          <w:rFonts w:ascii="Arial" w:hAnsi="Arial" w:cs="Arial"/>
          <w:b/>
          <w:sz w:val="24"/>
          <w:szCs w:val="24"/>
        </w:rPr>
      </w:pPr>
      <w:r w:rsidRPr="00A74159">
        <w:rPr>
          <w:rFonts w:ascii="Arial" w:hAnsi="Arial" w:cs="Arial"/>
          <w:b/>
          <w:sz w:val="24"/>
          <w:szCs w:val="24"/>
        </w:rPr>
        <w:t>Principales impactos de la Ley 1266 de 2008</w:t>
      </w:r>
    </w:p>
    <w:p w14:paraId="2DE845E5" w14:textId="0C4AE54F" w:rsidR="007C6C3D" w:rsidRPr="00A74159" w:rsidRDefault="007C6C3D" w:rsidP="000A7EFB">
      <w:pPr>
        <w:ind w:right="284"/>
        <w:jc w:val="both"/>
        <w:rPr>
          <w:rFonts w:ascii="Arial" w:hAnsi="Arial" w:cs="Arial"/>
          <w:sz w:val="24"/>
          <w:szCs w:val="24"/>
        </w:rPr>
      </w:pPr>
      <w:r w:rsidRPr="00A74159">
        <w:rPr>
          <w:rFonts w:ascii="Arial" w:hAnsi="Arial" w:cs="Arial"/>
          <w:sz w:val="24"/>
          <w:szCs w:val="24"/>
        </w:rPr>
        <w:t>La Ley de</w:t>
      </w:r>
      <w:r w:rsidR="00067B56">
        <w:rPr>
          <w:rFonts w:ascii="Arial" w:hAnsi="Arial" w:cs="Arial"/>
          <w:sz w:val="24"/>
          <w:szCs w:val="24"/>
        </w:rPr>
        <w:t>l</w:t>
      </w:r>
      <w:r w:rsidRPr="00A74159">
        <w:rPr>
          <w:rFonts w:ascii="Arial" w:hAnsi="Arial" w:cs="Arial"/>
          <w:sz w:val="24"/>
          <w:szCs w:val="24"/>
        </w:rPr>
        <w:t xml:space="preserve"> </w:t>
      </w:r>
      <w:r w:rsidR="00D922F8">
        <w:rPr>
          <w:rFonts w:ascii="Arial" w:hAnsi="Arial" w:cs="Arial"/>
          <w:sz w:val="24"/>
          <w:szCs w:val="24"/>
        </w:rPr>
        <w:t>Há</w:t>
      </w:r>
      <w:r w:rsidR="0073779C" w:rsidRPr="00A74159">
        <w:rPr>
          <w:rFonts w:ascii="Arial" w:hAnsi="Arial" w:cs="Arial"/>
          <w:sz w:val="24"/>
          <w:szCs w:val="24"/>
        </w:rPr>
        <w:t>beas Data financiero ha permitido que las prácticas y los usos que de la información financiera de millones de colombianos</w:t>
      </w:r>
      <w:r w:rsidR="00624853">
        <w:rPr>
          <w:rFonts w:ascii="Arial" w:hAnsi="Arial" w:cs="Arial"/>
          <w:sz w:val="24"/>
          <w:szCs w:val="24"/>
        </w:rPr>
        <w:t>,</w:t>
      </w:r>
      <w:r w:rsidR="0073779C" w:rsidRPr="00A74159">
        <w:rPr>
          <w:rFonts w:ascii="Arial" w:hAnsi="Arial" w:cs="Arial"/>
          <w:sz w:val="24"/>
          <w:szCs w:val="24"/>
        </w:rPr>
        <w:t xml:space="preserve"> hacen el sector público y privado, se ciñan de manera estricta a </w:t>
      </w:r>
      <w:r w:rsidR="00624853">
        <w:rPr>
          <w:rFonts w:ascii="Arial" w:hAnsi="Arial" w:cs="Arial"/>
          <w:sz w:val="24"/>
          <w:szCs w:val="24"/>
        </w:rPr>
        <w:t xml:space="preserve">los principios de veracidad, finalidad, circulación restringida, </w:t>
      </w:r>
      <w:r w:rsidR="00AE7987" w:rsidRPr="00A74159">
        <w:rPr>
          <w:rFonts w:ascii="Arial" w:hAnsi="Arial" w:cs="Arial"/>
          <w:sz w:val="24"/>
          <w:szCs w:val="24"/>
        </w:rPr>
        <w:t>tem</w:t>
      </w:r>
      <w:r w:rsidR="00624853">
        <w:rPr>
          <w:rFonts w:ascii="Arial" w:hAnsi="Arial" w:cs="Arial"/>
          <w:sz w:val="24"/>
          <w:szCs w:val="24"/>
        </w:rPr>
        <w:t xml:space="preserve">poralidad de la información, </w:t>
      </w:r>
      <w:r w:rsidR="00AE7987" w:rsidRPr="00A74159">
        <w:rPr>
          <w:rFonts w:ascii="Arial" w:hAnsi="Arial" w:cs="Arial"/>
          <w:sz w:val="24"/>
          <w:szCs w:val="24"/>
        </w:rPr>
        <w:t>interpretación integra</w:t>
      </w:r>
      <w:r w:rsidR="00624853">
        <w:rPr>
          <w:rFonts w:ascii="Arial" w:hAnsi="Arial" w:cs="Arial"/>
          <w:sz w:val="24"/>
          <w:szCs w:val="24"/>
        </w:rPr>
        <w:t xml:space="preserve">l de derechos constitucionales, seguridad y </w:t>
      </w:r>
      <w:r w:rsidR="00AE7987" w:rsidRPr="00A74159">
        <w:rPr>
          <w:rFonts w:ascii="Arial" w:hAnsi="Arial" w:cs="Arial"/>
          <w:sz w:val="24"/>
          <w:szCs w:val="24"/>
        </w:rPr>
        <w:t xml:space="preserve">confidencialidad. </w:t>
      </w:r>
      <w:r w:rsidR="00AA158F" w:rsidRPr="00A74159">
        <w:rPr>
          <w:rFonts w:ascii="Arial" w:hAnsi="Arial" w:cs="Arial"/>
          <w:sz w:val="24"/>
          <w:szCs w:val="24"/>
        </w:rPr>
        <w:t>También, dio</w:t>
      </w:r>
      <w:r w:rsidR="00AE7987" w:rsidRPr="00A74159">
        <w:rPr>
          <w:rFonts w:ascii="Arial" w:hAnsi="Arial" w:cs="Arial"/>
          <w:sz w:val="24"/>
          <w:szCs w:val="24"/>
        </w:rPr>
        <w:t xml:space="preserve"> la potestad a la Superintendencia de Industria y Co</w:t>
      </w:r>
      <w:r w:rsidR="00AA158F" w:rsidRPr="00A74159">
        <w:rPr>
          <w:rFonts w:ascii="Arial" w:hAnsi="Arial" w:cs="Arial"/>
          <w:sz w:val="24"/>
          <w:szCs w:val="24"/>
        </w:rPr>
        <w:t>mercio y a la Superintendencia F</w:t>
      </w:r>
      <w:r w:rsidR="00AE7987" w:rsidRPr="00A74159">
        <w:rPr>
          <w:rFonts w:ascii="Arial" w:hAnsi="Arial" w:cs="Arial"/>
          <w:sz w:val="24"/>
          <w:szCs w:val="24"/>
        </w:rPr>
        <w:t xml:space="preserve">inanciera, de imponer sanciones a los operadores, fuentes o usuarios, que le </w:t>
      </w:r>
      <w:r w:rsidR="003F5ED1">
        <w:rPr>
          <w:rFonts w:ascii="Arial" w:hAnsi="Arial" w:cs="Arial"/>
          <w:sz w:val="24"/>
          <w:szCs w:val="24"/>
        </w:rPr>
        <w:t>,</w:t>
      </w:r>
      <w:r w:rsidR="00AE7987" w:rsidRPr="00A74159">
        <w:rPr>
          <w:rFonts w:ascii="Arial" w:hAnsi="Arial" w:cs="Arial"/>
          <w:sz w:val="24"/>
          <w:szCs w:val="24"/>
        </w:rPr>
        <w:t xml:space="preserve">den un trato </w:t>
      </w:r>
      <w:r w:rsidR="00147372">
        <w:rPr>
          <w:rFonts w:ascii="Arial" w:hAnsi="Arial" w:cs="Arial"/>
          <w:sz w:val="24"/>
          <w:szCs w:val="24"/>
        </w:rPr>
        <w:t>i</w:t>
      </w:r>
      <w:r w:rsidR="00624853">
        <w:rPr>
          <w:rFonts w:ascii="Arial" w:hAnsi="Arial" w:cs="Arial"/>
          <w:sz w:val="24"/>
          <w:szCs w:val="24"/>
        </w:rPr>
        <w:t>legal</w:t>
      </w:r>
      <w:r w:rsidR="00AE7987" w:rsidRPr="00A74159">
        <w:rPr>
          <w:rFonts w:ascii="Arial" w:hAnsi="Arial" w:cs="Arial"/>
          <w:sz w:val="24"/>
          <w:szCs w:val="24"/>
        </w:rPr>
        <w:t xml:space="preserve"> a la información financiera personal. </w:t>
      </w:r>
    </w:p>
    <w:p w14:paraId="42CE1D4F" w14:textId="77777777" w:rsidR="00AA158F" w:rsidRPr="00A74159" w:rsidRDefault="00AA158F" w:rsidP="000A7EFB">
      <w:pPr>
        <w:ind w:right="284"/>
        <w:jc w:val="both"/>
        <w:rPr>
          <w:rFonts w:ascii="Arial" w:hAnsi="Arial" w:cs="Arial"/>
          <w:sz w:val="24"/>
          <w:szCs w:val="24"/>
        </w:rPr>
      </w:pPr>
      <w:r w:rsidRPr="00A74159">
        <w:rPr>
          <w:rFonts w:ascii="Arial" w:hAnsi="Arial" w:cs="Arial"/>
          <w:sz w:val="24"/>
          <w:szCs w:val="24"/>
        </w:rPr>
        <w:t>Los principales impactos de la Ley 1266 de 2008, tras siete años de su expedición, pueden resumirse en los siguientes puntos:</w:t>
      </w:r>
    </w:p>
    <w:p w14:paraId="78474599" w14:textId="77777777" w:rsidR="009D3F48" w:rsidRPr="00A74159" w:rsidRDefault="009D3F48" w:rsidP="000A7EFB">
      <w:pPr>
        <w:ind w:right="284"/>
        <w:jc w:val="both"/>
        <w:rPr>
          <w:rFonts w:ascii="Arial" w:hAnsi="Arial" w:cs="Arial"/>
          <w:sz w:val="24"/>
          <w:szCs w:val="24"/>
        </w:rPr>
      </w:pPr>
    </w:p>
    <w:p w14:paraId="0E2B9DDD" w14:textId="0943A60C" w:rsidR="007E2F56" w:rsidRDefault="00DE2944" w:rsidP="00714967">
      <w:pPr>
        <w:pStyle w:val="Prrafodelista"/>
        <w:numPr>
          <w:ilvl w:val="0"/>
          <w:numId w:val="1"/>
        </w:numPr>
        <w:ind w:right="284"/>
        <w:jc w:val="both"/>
        <w:rPr>
          <w:rFonts w:ascii="Arial" w:hAnsi="Arial" w:cs="Arial"/>
          <w:sz w:val="24"/>
          <w:szCs w:val="24"/>
        </w:rPr>
      </w:pPr>
      <w:r w:rsidRPr="00DE2944">
        <w:rPr>
          <w:rFonts w:ascii="Arial" w:hAnsi="Arial" w:cs="Arial"/>
          <w:b/>
          <w:i/>
          <w:sz w:val="24"/>
          <w:szCs w:val="24"/>
        </w:rPr>
        <w:t>Acceso a crédito.</w:t>
      </w:r>
      <w:r>
        <w:rPr>
          <w:rFonts w:ascii="Arial" w:hAnsi="Arial" w:cs="Arial"/>
          <w:i/>
          <w:sz w:val="24"/>
          <w:szCs w:val="24"/>
        </w:rPr>
        <w:t xml:space="preserve"> </w:t>
      </w:r>
      <w:r>
        <w:rPr>
          <w:rFonts w:ascii="Arial" w:hAnsi="Arial" w:cs="Arial"/>
          <w:sz w:val="24"/>
          <w:szCs w:val="24"/>
        </w:rPr>
        <w:t xml:space="preserve">Ha permitido mejorar el acceso de los colombianos al crédito </w:t>
      </w:r>
      <w:r w:rsidRPr="00A74159">
        <w:rPr>
          <w:rFonts w:ascii="Arial" w:hAnsi="Arial" w:cs="Arial"/>
          <w:sz w:val="24"/>
          <w:szCs w:val="24"/>
        </w:rPr>
        <w:t>(</w:t>
      </w:r>
      <w:r w:rsidR="00232631">
        <w:rPr>
          <w:rFonts w:ascii="Arial" w:hAnsi="Arial" w:cs="Arial"/>
          <w:sz w:val="24"/>
          <w:szCs w:val="24"/>
        </w:rPr>
        <w:t>Banco Mundial</w:t>
      </w:r>
      <w:r w:rsidRPr="00A74159">
        <w:rPr>
          <w:rFonts w:ascii="Arial" w:hAnsi="Arial" w:cs="Arial"/>
          <w:sz w:val="24"/>
          <w:szCs w:val="24"/>
        </w:rPr>
        <w:t>, 2010: 8</w:t>
      </w:r>
      <w:r>
        <w:rPr>
          <w:rFonts w:ascii="Arial" w:hAnsi="Arial" w:cs="Arial"/>
          <w:sz w:val="24"/>
          <w:szCs w:val="24"/>
        </w:rPr>
        <w:t xml:space="preserve">), hecho que tiene un efecto dinamizador en la economía pues incentiva el consumo. </w:t>
      </w:r>
      <w:r w:rsidR="00C93651">
        <w:rPr>
          <w:rFonts w:ascii="Arial" w:hAnsi="Arial" w:cs="Arial"/>
          <w:sz w:val="24"/>
          <w:szCs w:val="24"/>
        </w:rPr>
        <w:t xml:space="preserve">Como se analizará más adelante, esto </w:t>
      </w:r>
      <w:r w:rsidR="00714967">
        <w:rPr>
          <w:rFonts w:ascii="Arial" w:hAnsi="Arial" w:cs="Arial"/>
          <w:sz w:val="24"/>
          <w:szCs w:val="24"/>
        </w:rPr>
        <w:t>tiene fuertes implicaciones en el desarrollo del país: “</w:t>
      </w:r>
      <w:r w:rsidR="00714967" w:rsidRPr="00714967">
        <w:rPr>
          <w:rFonts w:ascii="Arial" w:hAnsi="Arial" w:cs="Arial"/>
          <w:sz w:val="24"/>
          <w:szCs w:val="24"/>
        </w:rPr>
        <w:t>La inclusión financiera tiene un efecto positivo contrastado</w:t>
      </w:r>
      <w:r w:rsidR="00714967">
        <w:rPr>
          <w:rFonts w:ascii="Arial" w:hAnsi="Arial" w:cs="Arial"/>
          <w:sz w:val="24"/>
          <w:szCs w:val="24"/>
        </w:rPr>
        <w:t xml:space="preserve"> </w:t>
      </w:r>
      <w:r w:rsidR="00714967" w:rsidRPr="00714967">
        <w:rPr>
          <w:rFonts w:ascii="Arial" w:hAnsi="Arial" w:cs="Arial"/>
          <w:sz w:val="24"/>
          <w:szCs w:val="24"/>
        </w:rPr>
        <w:t>sobre la desigualdad, la pobreza y el crecimiento</w:t>
      </w:r>
      <w:r w:rsidR="00714967">
        <w:rPr>
          <w:rFonts w:ascii="Arial" w:hAnsi="Arial" w:cs="Arial"/>
          <w:sz w:val="24"/>
          <w:szCs w:val="24"/>
        </w:rPr>
        <w:t xml:space="preserve"> </w:t>
      </w:r>
      <w:r w:rsidR="00714967" w:rsidRPr="00714967">
        <w:rPr>
          <w:rFonts w:ascii="Arial" w:hAnsi="Arial" w:cs="Arial"/>
          <w:sz w:val="24"/>
          <w:szCs w:val="24"/>
        </w:rPr>
        <w:t>económico</w:t>
      </w:r>
      <w:r w:rsidR="00714967">
        <w:rPr>
          <w:rFonts w:ascii="Arial" w:hAnsi="Arial" w:cs="Arial"/>
          <w:sz w:val="24"/>
          <w:szCs w:val="24"/>
        </w:rPr>
        <w:t>” (García Alba, Jaime, 2009: 1)</w:t>
      </w:r>
      <w:r w:rsidR="00090EFB">
        <w:rPr>
          <w:rFonts w:ascii="Arial" w:hAnsi="Arial" w:cs="Arial"/>
          <w:sz w:val="24"/>
          <w:szCs w:val="24"/>
        </w:rPr>
        <w:t>.</w:t>
      </w:r>
      <w:r w:rsidR="007E2F56">
        <w:rPr>
          <w:rFonts w:ascii="Arial" w:hAnsi="Arial" w:cs="Arial"/>
          <w:sz w:val="24"/>
          <w:szCs w:val="24"/>
        </w:rPr>
        <w:t xml:space="preserve">        </w:t>
      </w:r>
    </w:p>
    <w:p w14:paraId="557A34B2" w14:textId="4910C81B" w:rsidR="00AA158F" w:rsidRDefault="00DE2944" w:rsidP="009C39ED">
      <w:pPr>
        <w:pStyle w:val="Prrafodelista"/>
        <w:numPr>
          <w:ilvl w:val="0"/>
          <w:numId w:val="1"/>
        </w:numPr>
        <w:ind w:right="284"/>
        <w:jc w:val="both"/>
        <w:rPr>
          <w:rFonts w:ascii="Arial" w:hAnsi="Arial" w:cs="Arial"/>
          <w:sz w:val="24"/>
          <w:szCs w:val="24"/>
        </w:rPr>
      </w:pPr>
      <w:r w:rsidRPr="00DE2944">
        <w:rPr>
          <w:rFonts w:ascii="Arial" w:hAnsi="Arial" w:cs="Arial"/>
          <w:b/>
          <w:i/>
          <w:sz w:val="24"/>
          <w:szCs w:val="24"/>
        </w:rPr>
        <w:t>Sanciones.</w:t>
      </w:r>
      <w:r>
        <w:rPr>
          <w:rFonts w:ascii="Arial" w:hAnsi="Arial" w:cs="Arial"/>
          <w:b/>
          <w:i/>
          <w:sz w:val="24"/>
          <w:szCs w:val="24"/>
        </w:rPr>
        <w:t xml:space="preserve"> </w:t>
      </w:r>
      <w:r w:rsidR="009C39ED" w:rsidRPr="00A74159">
        <w:rPr>
          <w:rFonts w:ascii="Arial" w:hAnsi="Arial" w:cs="Arial"/>
          <w:sz w:val="24"/>
          <w:szCs w:val="24"/>
        </w:rPr>
        <w:t xml:space="preserve">Para el año 2014, en el marco de lo establecido por la Ley 1266 de 2008 y por la Ley 1581 de 2012, la Superintendencia de Industria y Comercio habría impuesto “(…) multas por un total de $1.892 millones </w:t>
      </w:r>
      <w:r w:rsidR="00D922F8">
        <w:rPr>
          <w:rFonts w:ascii="Arial" w:hAnsi="Arial" w:cs="Arial"/>
          <w:sz w:val="24"/>
          <w:szCs w:val="24"/>
        </w:rPr>
        <w:t>a 46 empresas que violaron el Há</w:t>
      </w:r>
      <w:r w:rsidR="009C39ED" w:rsidRPr="00A74159">
        <w:rPr>
          <w:rFonts w:ascii="Arial" w:hAnsi="Arial" w:cs="Arial"/>
          <w:sz w:val="24"/>
          <w:szCs w:val="24"/>
        </w:rPr>
        <w:t>beas Data. Se presentaron además 4.889 quejas y se impartieron 153 órdenes administrativas de eliminación, corrección o actualización de información en bases de datos.”</w:t>
      </w:r>
      <w:r w:rsidR="00090EFB">
        <w:rPr>
          <w:rFonts w:ascii="Arial" w:hAnsi="Arial" w:cs="Arial"/>
          <w:sz w:val="24"/>
          <w:szCs w:val="24"/>
        </w:rPr>
        <w:t xml:space="preserve"> </w:t>
      </w:r>
      <w:r w:rsidR="009C39ED" w:rsidRPr="00A74159">
        <w:rPr>
          <w:rFonts w:ascii="Arial" w:hAnsi="Arial" w:cs="Arial"/>
          <w:sz w:val="24"/>
          <w:szCs w:val="24"/>
        </w:rPr>
        <w:t>(</w:t>
      </w:r>
      <w:r w:rsidR="00090EFB">
        <w:rPr>
          <w:rFonts w:ascii="Arial" w:hAnsi="Arial" w:cs="Arial"/>
          <w:sz w:val="24"/>
          <w:szCs w:val="24"/>
        </w:rPr>
        <w:t>Ramírez Prado, Juliana, 9 de marzo de 2015.)</w:t>
      </w:r>
      <w:r w:rsidR="009C39ED" w:rsidRPr="00A74159">
        <w:rPr>
          <w:rFonts w:ascii="Arial" w:hAnsi="Arial" w:cs="Arial"/>
          <w:sz w:val="24"/>
          <w:szCs w:val="24"/>
        </w:rPr>
        <w:t xml:space="preserve"> </w:t>
      </w:r>
      <w:r w:rsidR="007E2F56">
        <w:rPr>
          <w:rFonts w:ascii="Arial" w:hAnsi="Arial" w:cs="Arial"/>
          <w:sz w:val="24"/>
          <w:szCs w:val="24"/>
        </w:rPr>
        <w:t>Más allá del efecto sancionatorio, esta situa</w:t>
      </w:r>
      <w:r w:rsidR="00624853">
        <w:rPr>
          <w:rFonts w:ascii="Arial" w:hAnsi="Arial" w:cs="Arial"/>
          <w:sz w:val="24"/>
          <w:szCs w:val="24"/>
        </w:rPr>
        <w:t xml:space="preserve">ción reafirma la importancia de profundizar en la defensa del </w:t>
      </w:r>
      <w:r w:rsidR="00D922F8">
        <w:rPr>
          <w:rFonts w:ascii="Arial" w:hAnsi="Arial" w:cs="Arial"/>
          <w:sz w:val="24"/>
          <w:szCs w:val="24"/>
        </w:rPr>
        <w:t>Há</w:t>
      </w:r>
      <w:r w:rsidR="007E2F56">
        <w:rPr>
          <w:rFonts w:ascii="Arial" w:hAnsi="Arial" w:cs="Arial"/>
          <w:sz w:val="24"/>
          <w:szCs w:val="24"/>
        </w:rPr>
        <w:t>beas Data</w:t>
      </w:r>
      <w:r w:rsidR="00624853">
        <w:rPr>
          <w:rFonts w:ascii="Arial" w:hAnsi="Arial" w:cs="Arial"/>
          <w:sz w:val="24"/>
          <w:szCs w:val="24"/>
        </w:rPr>
        <w:t>, pues</w:t>
      </w:r>
      <w:r w:rsidR="007E2F56">
        <w:rPr>
          <w:rFonts w:ascii="Arial" w:hAnsi="Arial" w:cs="Arial"/>
          <w:sz w:val="24"/>
          <w:szCs w:val="24"/>
        </w:rPr>
        <w:t xml:space="preserve"> como lo evidencia la cotidianidad del consumidor financiero, es habitual el exceso de </w:t>
      </w:r>
      <w:r w:rsidR="00D16986">
        <w:rPr>
          <w:rFonts w:ascii="Arial" w:hAnsi="Arial" w:cs="Arial"/>
          <w:sz w:val="24"/>
          <w:szCs w:val="24"/>
        </w:rPr>
        <w:t>parte de los operadores, fuentes y usuarios de la información.</w:t>
      </w:r>
    </w:p>
    <w:p w14:paraId="3557E789" w14:textId="77777777" w:rsidR="003C0DD2" w:rsidRPr="00A74159" w:rsidRDefault="003C0DD2" w:rsidP="003C0DD2">
      <w:pPr>
        <w:pStyle w:val="Prrafodelista"/>
        <w:ind w:right="284"/>
        <w:jc w:val="both"/>
        <w:rPr>
          <w:rFonts w:ascii="Arial" w:hAnsi="Arial" w:cs="Arial"/>
          <w:sz w:val="24"/>
          <w:szCs w:val="24"/>
        </w:rPr>
      </w:pPr>
    </w:p>
    <w:p w14:paraId="4C447BD0" w14:textId="08C7338E" w:rsidR="009C39ED" w:rsidRDefault="00E47CD2" w:rsidP="00A74159">
      <w:pPr>
        <w:pStyle w:val="Prrafodelista"/>
        <w:numPr>
          <w:ilvl w:val="0"/>
          <w:numId w:val="1"/>
        </w:numPr>
        <w:ind w:right="284"/>
        <w:jc w:val="both"/>
        <w:rPr>
          <w:rFonts w:ascii="Arial" w:hAnsi="Arial" w:cs="Arial"/>
          <w:sz w:val="24"/>
          <w:szCs w:val="24"/>
        </w:rPr>
      </w:pPr>
      <w:r>
        <w:rPr>
          <w:rFonts w:ascii="Arial" w:hAnsi="Arial" w:cs="Arial"/>
          <w:b/>
          <w:i/>
          <w:sz w:val="24"/>
          <w:szCs w:val="24"/>
        </w:rPr>
        <w:t>Estándares internacionales</w:t>
      </w:r>
      <w:r w:rsidR="00090EFB">
        <w:rPr>
          <w:rFonts w:ascii="Arial" w:hAnsi="Arial" w:cs="Arial"/>
          <w:b/>
          <w:i/>
          <w:sz w:val="24"/>
          <w:szCs w:val="24"/>
        </w:rPr>
        <w:t>.</w:t>
      </w:r>
      <w:r>
        <w:rPr>
          <w:rFonts w:ascii="Arial" w:hAnsi="Arial" w:cs="Arial"/>
          <w:b/>
          <w:i/>
          <w:sz w:val="24"/>
          <w:szCs w:val="24"/>
        </w:rPr>
        <w:t xml:space="preserve"> </w:t>
      </w:r>
      <w:r w:rsidR="00A74159" w:rsidRPr="00A74159">
        <w:rPr>
          <w:rFonts w:ascii="Arial" w:hAnsi="Arial" w:cs="Arial"/>
          <w:sz w:val="24"/>
          <w:szCs w:val="24"/>
        </w:rPr>
        <w:t>Junto con la Ley 1581 de 2012, la Ley 1266 d</w:t>
      </w:r>
      <w:r>
        <w:rPr>
          <w:rFonts w:ascii="Arial" w:hAnsi="Arial" w:cs="Arial"/>
          <w:sz w:val="24"/>
          <w:szCs w:val="24"/>
        </w:rPr>
        <w:t xml:space="preserve">e 2008 ha permitido al </w:t>
      </w:r>
      <w:r w:rsidR="00624853">
        <w:rPr>
          <w:rFonts w:ascii="Arial" w:hAnsi="Arial" w:cs="Arial"/>
          <w:sz w:val="24"/>
          <w:szCs w:val="24"/>
        </w:rPr>
        <w:t>país actualizarse a</w:t>
      </w:r>
      <w:r>
        <w:rPr>
          <w:rFonts w:ascii="Arial" w:hAnsi="Arial" w:cs="Arial"/>
          <w:sz w:val="24"/>
          <w:szCs w:val="24"/>
        </w:rPr>
        <w:t xml:space="preserve"> la nueva realidad internacional sobre protección de información personal. Por ejemplo, significó un gran avance para</w:t>
      </w:r>
      <w:r w:rsidR="00A74159" w:rsidRPr="00A74159">
        <w:rPr>
          <w:rFonts w:ascii="Arial" w:hAnsi="Arial" w:cs="Arial"/>
          <w:sz w:val="24"/>
          <w:szCs w:val="24"/>
        </w:rPr>
        <w:t xml:space="preserve"> la implementación de las Reglas de Heredia (reglas mínimas para la difusión de pronunciamientos judiciales en Internet)</w:t>
      </w:r>
      <w:r w:rsidR="007E2F56">
        <w:rPr>
          <w:rFonts w:ascii="Arial" w:hAnsi="Arial" w:cs="Arial"/>
          <w:sz w:val="24"/>
          <w:szCs w:val="24"/>
        </w:rPr>
        <w:t xml:space="preserve">, </w:t>
      </w:r>
      <w:r>
        <w:rPr>
          <w:rFonts w:ascii="Arial" w:hAnsi="Arial" w:cs="Arial"/>
          <w:sz w:val="24"/>
          <w:szCs w:val="24"/>
        </w:rPr>
        <w:t>resultado éstas de</w:t>
      </w:r>
      <w:r w:rsidR="007E2F56">
        <w:rPr>
          <w:rFonts w:ascii="Arial" w:hAnsi="Arial" w:cs="Arial"/>
          <w:sz w:val="24"/>
          <w:szCs w:val="24"/>
        </w:rPr>
        <w:t xml:space="preserve"> un pronunciamiento de la </w:t>
      </w:r>
      <w:r w:rsidR="00A74159" w:rsidRPr="00A74159">
        <w:rPr>
          <w:rFonts w:ascii="Arial" w:hAnsi="Arial" w:cs="Arial"/>
          <w:sz w:val="24"/>
          <w:szCs w:val="24"/>
        </w:rPr>
        <w:t>Delegatura para la Protección de Datos Personales de la S</w:t>
      </w:r>
      <w:r w:rsidR="003F5ED1">
        <w:rPr>
          <w:rFonts w:ascii="Arial" w:hAnsi="Arial" w:cs="Arial"/>
          <w:sz w:val="24"/>
          <w:szCs w:val="24"/>
        </w:rPr>
        <w:t>uperintendencia de Industria y C</w:t>
      </w:r>
      <w:r w:rsidR="00821911">
        <w:rPr>
          <w:rFonts w:ascii="Arial" w:hAnsi="Arial" w:cs="Arial"/>
          <w:sz w:val="24"/>
          <w:szCs w:val="24"/>
        </w:rPr>
        <w:t xml:space="preserve">.l </w:t>
      </w:r>
      <w:r w:rsidR="00226D79">
        <w:rPr>
          <w:rFonts w:ascii="Arial" w:hAnsi="Arial" w:cs="Arial"/>
          <w:sz w:val="24"/>
          <w:szCs w:val="24"/>
        </w:rPr>
        <w:t xml:space="preserve">  </w:t>
      </w:r>
      <w:r w:rsidR="00A74159" w:rsidRPr="00A74159">
        <w:rPr>
          <w:rFonts w:ascii="Arial" w:hAnsi="Arial" w:cs="Arial"/>
          <w:sz w:val="24"/>
          <w:szCs w:val="24"/>
        </w:rPr>
        <w:t xml:space="preserve">omercio del año 2014, en torno a la protección de datos personales </w:t>
      </w:r>
      <w:r w:rsidR="007E2F56">
        <w:rPr>
          <w:rFonts w:ascii="Arial" w:hAnsi="Arial" w:cs="Arial"/>
          <w:sz w:val="24"/>
          <w:szCs w:val="24"/>
        </w:rPr>
        <w:t xml:space="preserve">de niños, niñas y adolescentes </w:t>
      </w:r>
      <w:r w:rsidR="00A74159" w:rsidRPr="00A74159">
        <w:rPr>
          <w:rFonts w:ascii="Arial" w:hAnsi="Arial" w:cs="Arial"/>
          <w:sz w:val="24"/>
          <w:szCs w:val="24"/>
        </w:rPr>
        <w:t>(González-Calero, Francisco, 2014: 47-48)</w:t>
      </w:r>
      <w:r w:rsidR="007E2F56">
        <w:rPr>
          <w:rFonts w:ascii="Arial" w:hAnsi="Arial" w:cs="Arial"/>
          <w:sz w:val="24"/>
          <w:szCs w:val="24"/>
        </w:rPr>
        <w:t>.</w:t>
      </w:r>
    </w:p>
    <w:p w14:paraId="78C04ECE" w14:textId="0425BBDE" w:rsidR="00D16986" w:rsidRPr="00A74159" w:rsidRDefault="008C6691" w:rsidP="00E47CD2">
      <w:pPr>
        <w:pStyle w:val="Prrafodelista"/>
        <w:ind w:right="284"/>
        <w:jc w:val="both"/>
        <w:rPr>
          <w:rFonts w:ascii="Arial" w:hAnsi="Arial" w:cs="Arial"/>
          <w:sz w:val="24"/>
          <w:szCs w:val="24"/>
        </w:rPr>
      </w:pPr>
      <w:r>
        <w:rPr>
          <w:rFonts w:ascii="Arial" w:hAnsi="Arial" w:cs="Arial"/>
          <w:sz w:val="24"/>
          <w:szCs w:val="24"/>
        </w:rPr>
        <w:t>Igualmente, permitió al país ser un destino de inversión atractivo para industrias como la de los Call Centers, pues la existencia de una normativa que proteja y permita modificar la información personal de sus clientes, sumado al buen desempeño de la economía nacional, se</w:t>
      </w:r>
      <w:r w:rsidR="007360CA">
        <w:rPr>
          <w:rFonts w:ascii="Arial" w:hAnsi="Arial" w:cs="Arial"/>
          <w:sz w:val="24"/>
          <w:szCs w:val="24"/>
        </w:rPr>
        <w:t xml:space="preserve"> ha convertido</w:t>
      </w:r>
      <w:r>
        <w:rPr>
          <w:rFonts w:ascii="Arial" w:hAnsi="Arial" w:cs="Arial"/>
          <w:sz w:val="24"/>
          <w:szCs w:val="24"/>
        </w:rPr>
        <w:t xml:space="preserve"> en un gran incentivo para operar </w:t>
      </w:r>
      <w:r w:rsidR="0069283F">
        <w:rPr>
          <w:rFonts w:ascii="Arial" w:hAnsi="Arial" w:cs="Arial"/>
          <w:sz w:val="24"/>
          <w:szCs w:val="24"/>
        </w:rPr>
        <w:t xml:space="preserve">desde </w:t>
      </w:r>
      <w:r>
        <w:rPr>
          <w:rFonts w:ascii="Arial" w:hAnsi="Arial" w:cs="Arial"/>
          <w:sz w:val="24"/>
          <w:szCs w:val="24"/>
        </w:rPr>
        <w:t>Colombia.</w:t>
      </w:r>
    </w:p>
    <w:p w14:paraId="5D118129" w14:textId="77777777" w:rsidR="00226D79" w:rsidRDefault="00226D79" w:rsidP="00946A17">
      <w:pPr>
        <w:jc w:val="both"/>
        <w:rPr>
          <w:rFonts w:ascii="Arial" w:hAnsi="Arial" w:cs="Arial"/>
          <w:b/>
          <w:sz w:val="24"/>
          <w:szCs w:val="24"/>
        </w:rPr>
      </w:pPr>
    </w:p>
    <w:p w14:paraId="67EC4329" w14:textId="77777777" w:rsidR="00FA74D2" w:rsidRDefault="00A74159" w:rsidP="00946A17">
      <w:pPr>
        <w:jc w:val="both"/>
        <w:rPr>
          <w:rFonts w:ascii="Arial" w:hAnsi="Arial" w:cs="Arial"/>
          <w:b/>
          <w:sz w:val="24"/>
          <w:szCs w:val="24"/>
        </w:rPr>
      </w:pPr>
      <w:r>
        <w:rPr>
          <w:rFonts w:ascii="Arial" w:hAnsi="Arial" w:cs="Arial"/>
          <w:b/>
          <w:sz w:val="24"/>
          <w:szCs w:val="24"/>
        </w:rPr>
        <w:t xml:space="preserve">Sistema </w:t>
      </w:r>
      <w:r w:rsidR="00D922F8">
        <w:rPr>
          <w:rFonts w:ascii="Arial" w:hAnsi="Arial" w:cs="Arial"/>
          <w:b/>
          <w:sz w:val="24"/>
          <w:szCs w:val="24"/>
        </w:rPr>
        <w:t>financiero y Há</w:t>
      </w:r>
      <w:r>
        <w:rPr>
          <w:rFonts w:ascii="Arial" w:hAnsi="Arial" w:cs="Arial"/>
          <w:b/>
          <w:sz w:val="24"/>
          <w:szCs w:val="24"/>
        </w:rPr>
        <w:t>beas Data</w:t>
      </w:r>
    </w:p>
    <w:p w14:paraId="32AF98C8" w14:textId="444AE795" w:rsidR="003C0DD2" w:rsidRDefault="00946A17" w:rsidP="00946A17">
      <w:pPr>
        <w:jc w:val="both"/>
        <w:rPr>
          <w:rFonts w:ascii="Arial" w:hAnsi="Arial" w:cs="Arial"/>
          <w:b/>
          <w:sz w:val="24"/>
          <w:szCs w:val="24"/>
        </w:rPr>
      </w:pPr>
      <w:r>
        <w:rPr>
          <w:rFonts w:ascii="Arial" w:hAnsi="Arial" w:cs="Arial"/>
          <w:sz w:val="24"/>
          <w:szCs w:val="24"/>
        </w:rPr>
        <w:t xml:space="preserve">Tras la promulgación de la Ley del Hábeas Data financiero, </w:t>
      </w:r>
      <w:r w:rsidRPr="00147372">
        <w:rPr>
          <w:rFonts w:ascii="Arial" w:hAnsi="Arial" w:cs="Arial"/>
          <w:sz w:val="24"/>
          <w:szCs w:val="24"/>
        </w:rPr>
        <w:t>según datos de ASOBANCARIA</w:t>
      </w:r>
      <w:r>
        <w:rPr>
          <w:rFonts w:ascii="Arial" w:hAnsi="Arial" w:cs="Arial"/>
          <w:sz w:val="24"/>
          <w:szCs w:val="24"/>
        </w:rPr>
        <w:t>,</w:t>
      </w:r>
      <w:r w:rsidRPr="00147372">
        <w:rPr>
          <w:rFonts w:ascii="Arial" w:hAnsi="Arial" w:cs="Arial"/>
          <w:sz w:val="24"/>
          <w:szCs w:val="24"/>
        </w:rPr>
        <w:t xml:space="preserve"> el número de personas mayores de edad que cuentan por lo menos con un producto financiero ha aumentado, pasando de</w:t>
      </w:r>
      <w:r w:rsidRPr="00147372">
        <w:rPr>
          <w:rFonts w:ascii="Arial" w:hAnsi="Arial" w:cs="Arial"/>
          <w:b/>
          <w:sz w:val="24"/>
          <w:szCs w:val="24"/>
        </w:rPr>
        <w:t xml:space="preserve"> </w:t>
      </w:r>
      <w:r>
        <w:rPr>
          <w:rFonts w:ascii="Arial" w:eastAsia="Times New Roman" w:hAnsi="Arial" w:cs="Arial"/>
          <w:color w:val="000000"/>
          <w:sz w:val="24"/>
          <w:szCs w:val="24"/>
          <w:lang w:eastAsia="es-CO"/>
        </w:rPr>
        <w:t>15.945.802 en 2008 a 23.312.929 en 2014</w:t>
      </w:r>
      <w:r w:rsidRPr="00147372">
        <w:rPr>
          <w:rFonts w:ascii="Arial" w:hAnsi="Arial" w:cs="Arial"/>
          <w:sz w:val="24"/>
          <w:szCs w:val="24"/>
        </w:rPr>
        <w:t>,</w:t>
      </w:r>
      <w:r>
        <w:rPr>
          <w:rFonts w:ascii="Arial" w:hAnsi="Arial" w:cs="Arial"/>
          <w:sz w:val="24"/>
          <w:szCs w:val="24"/>
        </w:rPr>
        <w:t xml:space="preserve"> </w:t>
      </w:r>
      <w:r w:rsidRPr="00147372">
        <w:rPr>
          <w:rFonts w:ascii="Arial" w:hAnsi="Arial" w:cs="Arial"/>
          <w:sz w:val="24"/>
          <w:szCs w:val="24"/>
        </w:rPr>
        <w:t>logrando tasas de crecimiento promedio</w:t>
      </w:r>
      <w:r w:rsidR="00AD6891">
        <w:rPr>
          <w:rFonts w:ascii="Arial" w:hAnsi="Arial" w:cs="Arial"/>
          <w:sz w:val="24"/>
          <w:szCs w:val="24"/>
        </w:rPr>
        <w:t xml:space="preserve"> anual</w:t>
      </w:r>
      <w:r w:rsidRPr="00147372">
        <w:rPr>
          <w:rFonts w:ascii="Arial" w:hAnsi="Arial" w:cs="Arial"/>
          <w:sz w:val="24"/>
          <w:szCs w:val="24"/>
        </w:rPr>
        <w:t xml:space="preserve"> de 5,7% durante </w:t>
      </w:r>
      <w:r>
        <w:rPr>
          <w:rFonts w:ascii="Arial" w:hAnsi="Arial" w:cs="Arial"/>
          <w:sz w:val="24"/>
          <w:szCs w:val="24"/>
        </w:rPr>
        <w:t>el mismo periodo</w:t>
      </w:r>
      <w:r w:rsidRPr="00147372">
        <w:rPr>
          <w:rFonts w:ascii="Arial" w:hAnsi="Arial" w:cs="Arial"/>
          <w:sz w:val="24"/>
          <w:szCs w:val="24"/>
        </w:rPr>
        <w:t>.</w:t>
      </w:r>
      <w:r w:rsidR="00FA74D2">
        <w:rPr>
          <w:rFonts w:ascii="Arial" w:hAnsi="Arial" w:cs="Arial"/>
          <w:sz w:val="24"/>
          <w:szCs w:val="24"/>
        </w:rPr>
        <w:t>(2008, 2014)</w:t>
      </w:r>
    </w:p>
    <w:p w14:paraId="18AD1832" w14:textId="77777777" w:rsidR="00167429" w:rsidRDefault="00167429" w:rsidP="00946A17">
      <w:pPr>
        <w:jc w:val="both"/>
        <w:rPr>
          <w:rFonts w:ascii="Arial" w:hAnsi="Arial" w:cs="Arial"/>
          <w:b/>
          <w:sz w:val="24"/>
          <w:szCs w:val="24"/>
        </w:rPr>
      </w:pPr>
    </w:p>
    <w:p w14:paraId="4385EF8F" w14:textId="77777777" w:rsidR="00167429" w:rsidRDefault="00167429" w:rsidP="00946A17">
      <w:pPr>
        <w:jc w:val="both"/>
        <w:rPr>
          <w:rFonts w:ascii="Arial" w:hAnsi="Arial" w:cs="Arial"/>
          <w:b/>
          <w:sz w:val="24"/>
          <w:szCs w:val="24"/>
        </w:rPr>
      </w:pPr>
    </w:p>
    <w:p w14:paraId="0444200A" w14:textId="77777777" w:rsidR="00167429" w:rsidRDefault="00167429" w:rsidP="00946A17">
      <w:pPr>
        <w:jc w:val="both"/>
        <w:rPr>
          <w:rFonts w:ascii="Arial" w:hAnsi="Arial" w:cs="Arial"/>
          <w:b/>
          <w:sz w:val="24"/>
          <w:szCs w:val="24"/>
        </w:rPr>
      </w:pPr>
    </w:p>
    <w:p w14:paraId="448DC000" w14:textId="77777777" w:rsidR="00167429" w:rsidRDefault="00167429" w:rsidP="00946A17">
      <w:pPr>
        <w:jc w:val="both"/>
        <w:rPr>
          <w:rFonts w:ascii="Arial" w:hAnsi="Arial" w:cs="Arial"/>
          <w:b/>
          <w:sz w:val="24"/>
          <w:szCs w:val="24"/>
        </w:rPr>
      </w:pPr>
    </w:p>
    <w:p w14:paraId="603CC095" w14:textId="77777777" w:rsidR="003142DE" w:rsidRDefault="003142DE" w:rsidP="00946A17">
      <w:pPr>
        <w:jc w:val="both"/>
        <w:rPr>
          <w:rFonts w:ascii="Arial" w:hAnsi="Arial" w:cs="Arial"/>
          <w:b/>
          <w:sz w:val="24"/>
          <w:szCs w:val="24"/>
        </w:rPr>
      </w:pPr>
    </w:p>
    <w:p w14:paraId="1842114F" w14:textId="15850C72" w:rsidR="00946A17" w:rsidRPr="00BF657B" w:rsidRDefault="00946A17" w:rsidP="00946A17">
      <w:pPr>
        <w:jc w:val="both"/>
        <w:rPr>
          <w:rFonts w:ascii="Arial" w:hAnsi="Arial" w:cs="Arial"/>
          <w:b/>
          <w:sz w:val="24"/>
          <w:szCs w:val="24"/>
        </w:rPr>
      </w:pPr>
      <w:r w:rsidRPr="00BF657B">
        <w:rPr>
          <w:rFonts w:ascii="Arial" w:hAnsi="Arial" w:cs="Arial"/>
          <w:b/>
          <w:sz w:val="24"/>
          <w:szCs w:val="24"/>
        </w:rPr>
        <w:lastRenderedPageBreak/>
        <w:t>Gráfico 1</w:t>
      </w:r>
    </w:p>
    <w:p w14:paraId="57D99C2A" w14:textId="51FA162E" w:rsidR="001B7E17" w:rsidRPr="001B7E17" w:rsidRDefault="00946A17" w:rsidP="00946A17">
      <w:pPr>
        <w:jc w:val="both"/>
        <w:rPr>
          <w:rFonts w:ascii="Arial" w:hAnsi="Arial" w:cs="Arial"/>
          <w:szCs w:val="24"/>
        </w:rPr>
      </w:pPr>
      <w:r w:rsidRPr="00147372">
        <w:rPr>
          <w:rFonts w:ascii="Arial" w:hAnsi="Arial" w:cs="Arial"/>
          <w:noProof/>
          <w:sz w:val="24"/>
          <w:szCs w:val="24"/>
          <w:lang w:eastAsia="es-CO"/>
        </w:rPr>
        <w:drawing>
          <wp:inline distT="0" distB="0" distL="0" distR="0" wp14:anchorId="168F44F3" wp14:editId="1154E071">
            <wp:extent cx="6076950" cy="26670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BF657B">
        <w:rPr>
          <w:rFonts w:ascii="Arial" w:hAnsi="Arial" w:cs="Arial"/>
          <w:szCs w:val="24"/>
        </w:rPr>
        <w:t>Fuente: elaboración propia con datos de ASOBANCARIA Y DANE.</w:t>
      </w:r>
    </w:p>
    <w:p w14:paraId="19AF41F8" w14:textId="760D1200" w:rsidR="00946A17" w:rsidRPr="00147372" w:rsidRDefault="00AD6891" w:rsidP="00946A17">
      <w:pPr>
        <w:jc w:val="both"/>
        <w:rPr>
          <w:rFonts w:ascii="Arial" w:hAnsi="Arial" w:cs="Arial"/>
          <w:sz w:val="24"/>
          <w:szCs w:val="24"/>
        </w:rPr>
      </w:pPr>
      <w:r>
        <w:rPr>
          <w:rFonts w:ascii="Arial" w:hAnsi="Arial" w:cs="Arial"/>
          <w:sz w:val="24"/>
          <w:szCs w:val="24"/>
        </w:rPr>
        <w:t xml:space="preserve">Un importante aspecto del impacto de la ley del Hábeas Data financiero, radica en su dimensión social. De hecho, su promulgación ha permitido a miles de colombianos volver a tener vida crediticia. Esto ha tenido un importante efecto en términos de bancarización y, puntualmente, ha incentivado </w:t>
      </w:r>
      <w:r w:rsidR="0086330C">
        <w:rPr>
          <w:rFonts w:ascii="Arial" w:hAnsi="Arial" w:cs="Arial"/>
          <w:sz w:val="24"/>
          <w:szCs w:val="24"/>
        </w:rPr>
        <w:t xml:space="preserve">el </w:t>
      </w:r>
      <w:r>
        <w:rPr>
          <w:rFonts w:ascii="Arial" w:hAnsi="Arial" w:cs="Arial"/>
          <w:sz w:val="24"/>
          <w:szCs w:val="24"/>
        </w:rPr>
        <w:t>acceso a</w:t>
      </w:r>
      <w:r w:rsidR="0086330C">
        <w:rPr>
          <w:rFonts w:ascii="Arial" w:hAnsi="Arial" w:cs="Arial"/>
          <w:sz w:val="24"/>
          <w:szCs w:val="24"/>
        </w:rPr>
        <w:t>l</w:t>
      </w:r>
      <w:r>
        <w:rPr>
          <w:rFonts w:ascii="Arial" w:hAnsi="Arial" w:cs="Arial"/>
          <w:sz w:val="24"/>
          <w:szCs w:val="24"/>
        </w:rPr>
        <w:t xml:space="preserve"> crédito en el país</w:t>
      </w:r>
      <w:r w:rsidR="0086330C">
        <w:rPr>
          <w:rFonts w:ascii="Arial" w:hAnsi="Arial" w:cs="Arial"/>
          <w:sz w:val="24"/>
          <w:szCs w:val="24"/>
        </w:rPr>
        <w:t>. Esto</w:t>
      </w:r>
      <w:r w:rsidR="00946A17">
        <w:rPr>
          <w:rFonts w:ascii="Arial" w:hAnsi="Arial" w:cs="Arial"/>
          <w:sz w:val="24"/>
          <w:szCs w:val="24"/>
        </w:rPr>
        <w:t xml:space="preserve"> </w:t>
      </w:r>
      <w:r w:rsidR="00946A17" w:rsidRPr="00147372">
        <w:rPr>
          <w:rFonts w:ascii="Arial" w:hAnsi="Arial" w:cs="Arial"/>
          <w:sz w:val="24"/>
          <w:szCs w:val="24"/>
        </w:rPr>
        <w:t xml:space="preserve">facilita el intercambio de bienes y servicios, </w:t>
      </w:r>
      <w:r w:rsidR="00946A17">
        <w:rPr>
          <w:rFonts w:ascii="Arial" w:hAnsi="Arial" w:cs="Arial"/>
          <w:sz w:val="24"/>
          <w:szCs w:val="24"/>
        </w:rPr>
        <w:t xml:space="preserve">y genera un </w:t>
      </w:r>
      <w:r w:rsidR="00946A17" w:rsidRPr="00BF657B">
        <w:rPr>
          <w:rFonts w:ascii="Arial" w:hAnsi="Arial" w:cs="Arial"/>
          <w:sz w:val="24"/>
          <w:szCs w:val="24"/>
        </w:rPr>
        <w:t xml:space="preserve">aumento en las tasas de ahorro que en el largo plazo estimula la inversión y </w:t>
      </w:r>
      <w:r w:rsidR="0086330C">
        <w:rPr>
          <w:rFonts w:ascii="Arial" w:hAnsi="Arial" w:cs="Arial"/>
          <w:sz w:val="24"/>
          <w:szCs w:val="24"/>
        </w:rPr>
        <w:t>el consumo</w:t>
      </w:r>
      <w:r w:rsidR="00946A17" w:rsidRPr="00BF657B">
        <w:rPr>
          <w:rFonts w:ascii="Arial" w:hAnsi="Arial" w:cs="Arial"/>
          <w:sz w:val="24"/>
          <w:szCs w:val="24"/>
        </w:rPr>
        <w:t>.</w:t>
      </w:r>
      <w:r w:rsidR="00946A17" w:rsidRPr="00147372">
        <w:rPr>
          <w:rFonts w:ascii="Arial" w:hAnsi="Arial" w:cs="Arial"/>
          <w:sz w:val="24"/>
          <w:szCs w:val="24"/>
        </w:rPr>
        <w:t xml:space="preserve"> </w:t>
      </w:r>
    </w:p>
    <w:p w14:paraId="73828C8D" w14:textId="021E4F0B" w:rsidR="00946A17" w:rsidRPr="00147372" w:rsidRDefault="00946A17" w:rsidP="00946A17">
      <w:pPr>
        <w:jc w:val="both"/>
        <w:rPr>
          <w:rFonts w:ascii="Arial" w:eastAsia="Times New Roman" w:hAnsi="Arial" w:cs="Arial"/>
          <w:color w:val="000000"/>
          <w:sz w:val="24"/>
          <w:szCs w:val="24"/>
          <w:lang w:eastAsia="es-CO"/>
        </w:rPr>
      </w:pPr>
      <w:r w:rsidRPr="00147372">
        <w:rPr>
          <w:rFonts w:ascii="Arial" w:hAnsi="Arial" w:cs="Arial"/>
          <w:sz w:val="24"/>
          <w:szCs w:val="24"/>
        </w:rPr>
        <w:t>Así mismo, el sistema financiero ofrece una gran variedad de productos</w:t>
      </w:r>
      <w:r w:rsidR="0086330C">
        <w:rPr>
          <w:rFonts w:ascii="Arial" w:hAnsi="Arial" w:cs="Arial"/>
          <w:sz w:val="24"/>
          <w:szCs w:val="24"/>
        </w:rPr>
        <w:t xml:space="preserve"> </w:t>
      </w:r>
      <w:r>
        <w:rPr>
          <w:rFonts w:ascii="Arial" w:hAnsi="Arial" w:cs="Arial"/>
          <w:sz w:val="24"/>
          <w:szCs w:val="24"/>
        </w:rPr>
        <w:t>que</w:t>
      </w:r>
      <w:r w:rsidRPr="00147372">
        <w:rPr>
          <w:rFonts w:ascii="Arial" w:hAnsi="Arial" w:cs="Arial"/>
          <w:sz w:val="24"/>
          <w:szCs w:val="24"/>
        </w:rPr>
        <w:t xml:space="preserve"> han jugado y siguen  jugando un papel relevante en la lógica económica del país;</w:t>
      </w:r>
      <w:r>
        <w:rPr>
          <w:rFonts w:ascii="Arial" w:hAnsi="Arial" w:cs="Arial"/>
          <w:sz w:val="24"/>
          <w:szCs w:val="24"/>
        </w:rPr>
        <w:t xml:space="preserve"> los principales </w:t>
      </w:r>
      <w:r w:rsidR="0086330C">
        <w:rPr>
          <w:rFonts w:ascii="Arial" w:hAnsi="Arial" w:cs="Arial"/>
          <w:sz w:val="24"/>
          <w:szCs w:val="24"/>
        </w:rPr>
        <w:t>y con</w:t>
      </w:r>
      <w:r w:rsidRPr="00147372">
        <w:rPr>
          <w:rFonts w:ascii="Arial" w:hAnsi="Arial" w:cs="Arial"/>
          <w:sz w:val="24"/>
          <w:szCs w:val="24"/>
        </w:rPr>
        <w:t xml:space="preserve"> may</w:t>
      </w:r>
      <w:r>
        <w:rPr>
          <w:rFonts w:ascii="Arial" w:hAnsi="Arial" w:cs="Arial"/>
          <w:sz w:val="24"/>
          <w:szCs w:val="24"/>
        </w:rPr>
        <w:t xml:space="preserve">or dinámica dentro del sistema son: </w:t>
      </w:r>
      <w:r w:rsidRPr="00147372">
        <w:rPr>
          <w:rFonts w:ascii="Arial" w:hAnsi="Arial" w:cs="Arial"/>
          <w:sz w:val="24"/>
          <w:szCs w:val="24"/>
        </w:rPr>
        <w:t xml:space="preserve">cuenta de ahorro, cuenta corriente, crédito comercial, crédito de consumo, crédito de vivienda, microcrédito y tarjetas de crédito. </w:t>
      </w:r>
      <w:r w:rsidR="0086330C">
        <w:rPr>
          <w:rFonts w:ascii="Arial" w:hAnsi="Arial" w:cs="Arial"/>
          <w:sz w:val="24"/>
          <w:szCs w:val="24"/>
        </w:rPr>
        <w:t>Las</w:t>
      </w:r>
      <w:r w:rsidRPr="00147372">
        <w:rPr>
          <w:rFonts w:ascii="Arial" w:hAnsi="Arial" w:cs="Arial"/>
          <w:sz w:val="24"/>
          <w:szCs w:val="24"/>
        </w:rPr>
        <w:t xml:space="preserve"> cuentas de ahorro </w:t>
      </w:r>
      <w:r w:rsidR="0086330C">
        <w:rPr>
          <w:rFonts w:ascii="Arial" w:hAnsi="Arial" w:cs="Arial"/>
          <w:sz w:val="24"/>
          <w:szCs w:val="24"/>
        </w:rPr>
        <w:t xml:space="preserve">han sido </w:t>
      </w:r>
      <w:r w:rsidRPr="00147372">
        <w:rPr>
          <w:rFonts w:ascii="Arial" w:hAnsi="Arial" w:cs="Arial"/>
          <w:sz w:val="24"/>
          <w:szCs w:val="24"/>
        </w:rPr>
        <w:t xml:space="preserve">el producto financiero con mayor crecimiento y penetración en el país, teniendo un aumento en términos nominales de </w:t>
      </w:r>
      <w:r w:rsidR="003C0DD2">
        <w:rPr>
          <w:rFonts w:ascii="Arial" w:eastAsia="Times New Roman" w:hAnsi="Arial" w:cs="Arial"/>
          <w:color w:val="000000"/>
          <w:sz w:val="24"/>
          <w:szCs w:val="24"/>
          <w:lang w:eastAsia="es-CO"/>
        </w:rPr>
        <w:t>886 mil personas más entre diciembre de 2011 y diciembre de</w:t>
      </w:r>
      <w:r w:rsidRPr="00147372">
        <w:rPr>
          <w:rFonts w:ascii="Arial" w:eastAsia="Times New Roman" w:hAnsi="Arial" w:cs="Arial"/>
          <w:color w:val="000000"/>
          <w:sz w:val="24"/>
          <w:szCs w:val="24"/>
          <w:lang w:eastAsia="es-CO"/>
        </w:rPr>
        <w:t xml:space="preserve"> 2012; de modo similar fue el comportamiento de los créditos de consumo, </w:t>
      </w:r>
      <w:r>
        <w:rPr>
          <w:rFonts w:ascii="Arial" w:eastAsia="Times New Roman" w:hAnsi="Arial" w:cs="Arial"/>
          <w:color w:val="000000"/>
          <w:sz w:val="24"/>
          <w:szCs w:val="24"/>
          <w:lang w:eastAsia="es-CO"/>
        </w:rPr>
        <w:t>que tuvieron</w:t>
      </w:r>
      <w:r w:rsidRPr="00147372">
        <w:rPr>
          <w:rFonts w:ascii="Arial" w:eastAsia="Times New Roman" w:hAnsi="Arial" w:cs="Arial"/>
          <w:color w:val="000000"/>
          <w:sz w:val="24"/>
          <w:szCs w:val="24"/>
          <w:lang w:eastAsia="es-CO"/>
        </w:rPr>
        <w:t xml:space="preserve"> un mayor crecimiento en términos porcentuales en los periodos 2006 – 2007 y 2010 – 2011, con tasas de 51,1</w:t>
      </w:r>
      <w:r>
        <w:rPr>
          <w:rFonts w:ascii="Arial" w:eastAsia="Times New Roman" w:hAnsi="Arial" w:cs="Arial"/>
          <w:color w:val="000000"/>
          <w:sz w:val="24"/>
          <w:szCs w:val="24"/>
          <w:lang w:eastAsia="es-CO"/>
        </w:rPr>
        <w:t>%</w:t>
      </w:r>
      <w:r w:rsidRPr="00147372">
        <w:rPr>
          <w:rFonts w:ascii="Arial" w:eastAsia="Times New Roman" w:hAnsi="Arial" w:cs="Arial"/>
          <w:color w:val="000000"/>
          <w:sz w:val="24"/>
          <w:szCs w:val="24"/>
          <w:lang w:eastAsia="es-CO"/>
        </w:rPr>
        <w:t xml:space="preserve"> y 13,3%</w:t>
      </w:r>
      <w:r w:rsidR="003C0DD2">
        <w:rPr>
          <w:rFonts w:ascii="Arial" w:eastAsia="Times New Roman" w:hAnsi="Arial" w:cs="Arial"/>
          <w:color w:val="000000"/>
          <w:sz w:val="24"/>
          <w:szCs w:val="24"/>
          <w:lang w:eastAsia="es-CO"/>
        </w:rPr>
        <w:t>,</w:t>
      </w:r>
      <w:r w:rsidRPr="00147372">
        <w:rPr>
          <w:rFonts w:ascii="Arial" w:eastAsia="Times New Roman" w:hAnsi="Arial" w:cs="Arial"/>
          <w:color w:val="000000"/>
          <w:sz w:val="24"/>
          <w:szCs w:val="24"/>
          <w:lang w:eastAsia="es-CO"/>
        </w:rPr>
        <w:t xml:space="preserve"> respectivamente (Asobancaria, 2007, 2013). </w:t>
      </w:r>
    </w:p>
    <w:p w14:paraId="7256E5AC" w14:textId="77777777" w:rsidR="00946A17" w:rsidRDefault="00946A17" w:rsidP="00946A17">
      <w:pPr>
        <w:jc w:val="both"/>
        <w:rPr>
          <w:rFonts w:ascii="Arial" w:eastAsia="Times New Roman" w:hAnsi="Arial" w:cs="Arial"/>
          <w:b/>
          <w:color w:val="000000"/>
          <w:sz w:val="24"/>
          <w:szCs w:val="24"/>
          <w:lang w:eastAsia="es-CO"/>
        </w:rPr>
      </w:pPr>
      <w:r w:rsidRPr="00147372">
        <w:rPr>
          <w:rFonts w:ascii="Arial" w:eastAsia="Times New Roman" w:hAnsi="Arial" w:cs="Arial"/>
          <w:b/>
          <w:color w:val="000000"/>
          <w:sz w:val="24"/>
          <w:szCs w:val="24"/>
          <w:lang w:eastAsia="es-CO"/>
        </w:rPr>
        <w:lastRenderedPageBreak/>
        <w:t>Gráfico 2</w:t>
      </w:r>
    </w:p>
    <w:p w14:paraId="0AB5D96B" w14:textId="77777777" w:rsidR="00946A17" w:rsidRPr="00147372" w:rsidRDefault="00946A17" w:rsidP="00946A17">
      <w:pPr>
        <w:jc w:val="both"/>
        <w:rPr>
          <w:rFonts w:ascii="Arial" w:eastAsia="Times New Roman" w:hAnsi="Arial" w:cs="Arial"/>
          <w:b/>
          <w:color w:val="000000"/>
          <w:sz w:val="24"/>
          <w:szCs w:val="24"/>
          <w:lang w:eastAsia="es-CO"/>
        </w:rPr>
      </w:pPr>
      <w:r>
        <w:rPr>
          <w:noProof/>
          <w:lang w:eastAsia="es-CO"/>
        </w:rPr>
        <w:drawing>
          <wp:inline distT="0" distB="0" distL="0" distR="0" wp14:anchorId="00331171" wp14:editId="773B1256">
            <wp:extent cx="6229350" cy="363855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62A0EE" w14:textId="77777777" w:rsidR="00946A17" w:rsidRPr="00147372" w:rsidRDefault="00946A17" w:rsidP="00946A17">
      <w:pPr>
        <w:jc w:val="both"/>
        <w:rPr>
          <w:rFonts w:ascii="Arial" w:hAnsi="Arial" w:cs="Arial"/>
          <w:sz w:val="24"/>
          <w:szCs w:val="24"/>
        </w:rPr>
      </w:pPr>
      <w:r w:rsidRPr="00F56A78">
        <w:rPr>
          <w:rFonts w:ascii="Arial" w:hAnsi="Arial" w:cs="Arial"/>
          <w:szCs w:val="24"/>
        </w:rPr>
        <w:t>Fuente: Elaboración propia con datos de ASOBANCARIA, DANE Y CIFIN</w:t>
      </w:r>
    </w:p>
    <w:p w14:paraId="0D0BABD3" w14:textId="77777777" w:rsidR="00167429" w:rsidRDefault="00167429" w:rsidP="00946A17">
      <w:pPr>
        <w:jc w:val="both"/>
        <w:rPr>
          <w:rFonts w:ascii="Arial" w:eastAsia="Times New Roman" w:hAnsi="Arial" w:cs="Arial"/>
          <w:color w:val="000000"/>
          <w:sz w:val="24"/>
          <w:szCs w:val="24"/>
          <w:lang w:eastAsia="es-CO"/>
        </w:rPr>
      </w:pPr>
    </w:p>
    <w:p w14:paraId="55246A29" w14:textId="139315ED" w:rsidR="00946A17" w:rsidRPr="00E353F5" w:rsidRDefault="00E353F5" w:rsidP="00946A17">
      <w:pPr>
        <w:jc w:val="both"/>
        <w:rPr>
          <w:rFonts w:ascii="Arial" w:eastAsia="Times New Roman" w:hAnsi="Arial" w:cs="Arial"/>
          <w:color w:val="000000"/>
          <w:sz w:val="24"/>
          <w:lang w:eastAsia="es-CO"/>
        </w:rPr>
      </w:pPr>
      <w:r>
        <w:rPr>
          <w:rFonts w:ascii="Arial" w:hAnsi="Arial" w:cs="Arial"/>
          <w:sz w:val="24"/>
          <w:szCs w:val="24"/>
        </w:rPr>
        <w:t>Mientras</w:t>
      </w:r>
      <w:r w:rsidR="00946A17" w:rsidRPr="00147372">
        <w:rPr>
          <w:rFonts w:ascii="Arial" w:hAnsi="Arial" w:cs="Arial"/>
          <w:sz w:val="24"/>
          <w:szCs w:val="24"/>
        </w:rPr>
        <w:t xml:space="preserve"> </w:t>
      </w:r>
      <w:r w:rsidRPr="00E353F5">
        <w:rPr>
          <w:rFonts w:ascii="Arial" w:eastAsia="Times New Roman" w:hAnsi="Arial" w:cs="Arial"/>
          <w:color w:val="000000"/>
          <w:sz w:val="24"/>
          <w:lang w:eastAsia="es-CO"/>
        </w:rPr>
        <w:t>2</w:t>
      </w:r>
      <w:r>
        <w:rPr>
          <w:rFonts w:ascii="Arial" w:eastAsia="Times New Roman" w:hAnsi="Arial" w:cs="Arial"/>
          <w:color w:val="000000"/>
          <w:sz w:val="24"/>
          <w:lang w:eastAsia="es-CO"/>
        </w:rPr>
        <w:t>.</w:t>
      </w:r>
      <w:r w:rsidRPr="00E353F5">
        <w:rPr>
          <w:rFonts w:ascii="Arial" w:eastAsia="Times New Roman" w:hAnsi="Arial" w:cs="Arial"/>
          <w:color w:val="000000"/>
          <w:sz w:val="24"/>
          <w:lang w:eastAsia="es-CO"/>
        </w:rPr>
        <w:t>917</w:t>
      </w:r>
      <w:r>
        <w:rPr>
          <w:rFonts w:ascii="Arial" w:eastAsia="Times New Roman" w:hAnsi="Arial" w:cs="Arial"/>
          <w:color w:val="000000"/>
          <w:sz w:val="24"/>
          <w:lang w:eastAsia="es-CO"/>
        </w:rPr>
        <w:t>.</w:t>
      </w:r>
      <w:r w:rsidRPr="00E353F5">
        <w:rPr>
          <w:rFonts w:ascii="Arial" w:eastAsia="Times New Roman" w:hAnsi="Arial" w:cs="Arial"/>
          <w:color w:val="000000"/>
          <w:sz w:val="24"/>
          <w:lang w:eastAsia="es-CO"/>
        </w:rPr>
        <w:t>553</w:t>
      </w:r>
      <w:r>
        <w:rPr>
          <w:rFonts w:ascii="Arial" w:eastAsia="Times New Roman" w:hAnsi="Arial" w:cs="Arial"/>
          <w:color w:val="000000"/>
          <w:sz w:val="24"/>
          <w:lang w:eastAsia="es-CO"/>
        </w:rPr>
        <w:t xml:space="preserve"> </w:t>
      </w:r>
      <w:r w:rsidR="00946A17" w:rsidRPr="00147372">
        <w:rPr>
          <w:rFonts w:ascii="Arial" w:eastAsia="Times New Roman" w:hAnsi="Arial" w:cs="Arial"/>
          <w:color w:val="000000"/>
          <w:sz w:val="24"/>
          <w:szCs w:val="24"/>
          <w:lang w:eastAsia="es-CO"/>
        </w:rPr>
        <w:t xml:space="preserve">personas </w:t>
      </w:r>
      <w:r w:rsidR="00946A17">
        <w:rPr>
          <w:rFonts w:ascii="Arial" w:eastAsia="Times New Roman" w:hAnsi="Arial" w:cs="Arial"/>
          <w:color w:val="000000"/>
          <w:sz w:val="24"/>
          <w:szCs w:val="24"/>
          <w:lang w:eastAsia="es-CO"/>
        </w:rPr>
        <w:t xml:space="preserve">adicionales han accedido a tarjetas de crédito </w:t>
      </w:r>
      <w:r w:rsidR="00946A17" w:rsidRPr="00147372">
        <w:rPr>
          <w:rFonts w:ascii="Arial" w:eastAsia="Times New Roman" w:hAnsi="Arial" w:cs="Arial"/>
          <w:color w:val="000000"/>
          <w:sz w:val="24"/>
          <w:szCs w:val="24"/>
          <w:lang w:eastAsia="es-CO"/>
        </w:rPr>
        <w:t>en el periodo 200</w:t>
      </w:r>
      <w:r w:rsidR="003A7982">
        <w:rPr>
          <w:rFonts w:ascii="Arial" w:eastAsia="Times New Roman" w:hAnsi="Arial" w:cs="Arial"/>
          <w:color w:val="000000"/>
          <w:sz w:val="24"/>
          <w:szCs w:val="24"/>
          <w:lang w:eastAsia="es-CO"/>
        </w:rPr>
        <w:t>8</w:t>
      </w:r>
      <w:r w:rsidR="0042008A">
        <w:rPr>
          <w:rFonts w:ascii="Arial" w:eastAsia="Times New Roman" w:hAnsi="Arial" w:cs="Arial"/>
          <w:color w:val="000000"/>
          <w:sz w:val="24"/>
          <w:szCs w:val="24"/>
          <w:lang w:eastAsia="es-CO"/>
        </w:rPr>
        <w:t xml:space="preserve"> – 2014 en términos nominales</w:t>
      </w:r>
      <w:r>
        <w:rPr>
          <w:rFonts w:ascii="Arial" w:eastAsia="Times New Roman" w:hAnsi="Arial" w:cs="Arial"/>
          <w:color w:val="000000"/>
          <w:sz w:val="24"/>
          <w:szCs w:val="24"/>
          <w:lang w:eastAsia="es-CO"/>
        </w:rPr>
        <w:t xml:space="preserve">, </w:t>
      </w:r>
      <w:r w:rsidRPr="00E353F5">
        <w:rPr>
          <w:rFonts w:ascii="Arial" w:eastAsia="Times New Roman" w:hAnsi="Arial" w:cs="Arial"/>
          <w:color w:val="000000"/>
          <w:sz w:val="24"/>
          <w:szCs w:val="24"/>
          <w:lang w:eastAsia="es-CO"/>
        </w:rPr>
        <w:t>6</w:t>
      </w:r>
      <w:r>
        <w:rPr>
          <w:rFonts w:ascii="Arial" w:eastAsia="Times New Roman" w:hAnsi="Arial" w:cs="Arial"/>
          <w:color w:val="000000"/>
          <w:sz w:val="24"/>
          <w:szCs w:val="24"/>
          <w:lang w:eastAsia="es-CO"/>
        </w:rPr>
        <w:t>.</w:t>
      </w:r>
      <w:r w:rsidRPr="00E353F5">
        <w:rPr>
          <w:rFonts w:ascii="Arial" w:eastAsia="Times New Roman" w:hAnsi="Arial" w:cs="Arial"/>
          <w:color w:val="000000"/>
          <w:sz w:val="24"/>
          <w:szCs w:val="24"/>
          <w:lang w:eastAsia="es-CO"/>
        </w:rPr>
        <w:t>520</w:t>
      </w:r>
      <w:r>
        <w:rPr>
          <w:rFonts w:ascii="Arial" w:eastAsia="Times New Roman" w:hAnsi="Arial" w:cs="Arial"/>
          <w:color w:val="000000"/>
          <w:sz w:val="24"/>
          <w:szCs w:val="24"/>
          <w:lang w:eastAsia="es-CO"/>
        </w:rPr>
        <w:t>.</w:t>
      </w:r>
      <w:r w:rsidRPr="00E353F5">
        <w:rPr>
          <w:rFonts w:ascii="Arial" w:eastAsia="Times New Roman" w:hAnsi="Arial" w:cs="Arial"/>
          <w:color w:val="000000"/>
          <w:sz w:val="24"/>
          <w:szCs w:val="24"/>
          <w:lang w:eastAsia="es-CO"/>
        </w:rPr>
        <w:t>474</w:t>
      </w:r>
      <w:r>
        <w:rPr>
          <w:rFonts w:ascii="Arial" w:eastAsia="Times New Roman" w:hAnsi="Arial" w:cs="Arial"/>
          <w:color w:val="000000"/>
          <w:sz w:val="24"/>
          <w:szCs w:val="24"/>
          <w:lang w:eastAsia="es-CO"/>
        </w:rPr>
        <w:t xml:space="preserve"> adicionales han accedido a cuentas de ahorro desde 2008 hasta 2014.</w:t>
      </w:r>
      <w:r w:rsidR="00946A17" w:rsidRPr="00147372">
        <w:rPr>
          <w:rFonts w:ascii="Arial" w:eastAsia="Times New Roman" w:hAnsi="Arial" w:cs="Arial"/>
          <w:color w:val="000000"/>
          <w:sz w:val="24"/>
          <w:szCs w:val="24"/>
          <w:lang w:eastAsia="es-CO"/>
        </w:rPr>
        <w:t xml:space="preserve"> </w:t>
      </w:r>
      <w:r w:rsidR="00FA25E3">
        <w:rPr>
          <w:rFonts w:ascii="Arial" w:eastAsia="Times New Roman" w:hAnsi="Arial" w:cs="Arial"/>
          <w:color w:val="000000"/>
          <w:sz w:val="24"/>
          <w:szCs w:val="24"/>
          <w:lang w:eastAsia="es-CO"/>
        </w:rPr>
        <w:t>En parte, este aumento d</w:t>
      </w:r>
      <w:r w:rsidR="003A7982">
        <w:rPr>
          <w:rFonts w:ascii="Arial" w:eastAsia="Times New Roman" w:hAnsi="Arial" w:cs="Arial"/>
          <w:color w:val="000000"/>
          <w:sz w:val="24"/>
          <w:szCs w:val="24"/>
          <w:lang w:eastAsia="es-CO"/>
        </w:rPr>
        <w:t xml:space="preserve">el acceso a tarjetas de crédito, al crédito de consumo, y a cuentas de ahorro, se ha debido a la posibilidad que </w:t>
      </w:r>
      <w:r>
        <w:rPr>
          <w:rFonts w:ascii="Arial" w:eastAsia="Times New Roman" w:hAnsi="Arial" w:cs="Arial"/>
          <w:color w:val="000000"/>
          <w:sz w:val="24"/>
          <w:szCs w:val="24"/>
          <w:lang w:eastAsia="es-CO"/>
        </w:rPr>
        <w:t xml:space="preserve">han tenido los </w:t>
      </w:r>
      <w:r w:rsidR="00253AB0">
        <w:rPr>
          <w:rFonts w:ascii="Arial" w:eastAsia="Times New Roman" w:hAnsi="Arial" w:cs="Arial"/>
          <w:color w:val="000000"/>
          <w:sz w:val="24"/>
          <w:szCs w:val="24"/>
          <w:lang w:eastAsia="es-CO"/>
        </w:rPr>
        <w:t xml:space="preserve">ciudadanos de </w:t>
      </w:r>
      <w:r w:rsidR="003A7982">
        <w:rPr>
          <w:rFonts w:ascii="Arial" w:eastAsia="Times New Roman" w:hAnsi="Arial" w:cs="Arial"/>
          <w:color w:val="000000"/>
          <w:sz w:val="24"/>
          <w:szCs w:val="24"/>
          <w:lang w:eastAsia="es-CO"/>
        </w:rPr>
        <w:t xml:space="preserve"> </w:t>
      </w:r>
      <w:r w:rsidR="00253AB0">
        <w:rPr>
          <w:rFonts w:ascii="Arial" w:eastAsia="Times New Roman" w:hAnsi="Arial" w:cs="Arial"/>
          <w:color w:val="000000"/>
          <w:sz w:val="24"/>
          <w:szCs w:val="24"/>
          <w:lang w:eastAsia="es-CO"/>
        </w:rPr>
        <w:t xml:space="preserve">ejercer su derecho fundamental al Hábeas Data, </w:t>
      </w:r>
      <w:r w:rsidR="00C729E3">
        <w:rPr>
          <w:rFonts w:ascii="Arial" w:eastAsia="Times New Roman" w:hAnsi="Arial" w:cs="Arial"/>
          <w:color w:val="000000"/>
          <w:sz w:val="24"/>
          <w:szCs w:val="24"/>
          <w:lang w:eastAsia="es-CO"/>
        </w:rPr>
        <w:t>estimulando el consumo de</w:t>
      </w:r>
      <w:r w:rsidR="001B7E17">
        <w:rPr>
          <w:rFonts w:ascii="Arial" w:eastAsia="Times New Roman" w:hAnsi="Arial" w:cs="Arial"/>
          <w:color w:val="000000"/>
          <w:sz w:val="24"/>
          <w:szCs w:val="24"/>
          <w:lang w:eastAsia="es-CO"/>
        </w:rPr>
        <w:t xml:space="preserve"> productos financieros y </w:t>
      </w:r>
      <w:r w:rsidR="00253AB0">
        <w:rPr>
          <w:rFonts w:ascii="Arial" w:eastAsia="Times New Roman" w:hAnsi="Arial" w:cs="Arial"/>
          <w:color w:val="000000"/>
          <w:sz w:val="24"/>
          <w:szCs w:val="24"/>
          <w:lang w:eastAsia="es-CO"/>
        </w:rPr>
        <w:t>rectificando información negativa que sobre ellos habían recolectado agentes del sist</w:t>
      </w:r>
      <w:r w:rsidR="001B7E17">
        <w:rPr>
          <w:rFonts w:ascii="Arial" w:eastAsia="Times New Roman" w:hAnsi="Arial" w:cs="Arial"/>
          <w:color w:val="000000"/>
          <w:sz w:val="24"/>
          <w:szCs w:val="24"/>
          <w:lang w:eastAsia="es-CO"/>
        </w:rPr>
        <w:t>ema financiero.</w:t>
      </w:r>
    </w:p>
    <w:p w14:paraId="13CB7FBE" w14:textId="77777777" w:rsidR="00167429" w:rsidRDefault="00167429" w:rsidP="00946A17">
      <w:pPr>
        <w:jc w:val="both"/>
        <w:rPr>
          <w:rFonts w:ascii="Arial" w:hAnsi="Arial" w:cs="Arial"/>
          <w:b/>
          <w:sz w:val="24"/>
          <w:szCs w:val="24"/>
        </w:rPr>
      </w:pPr>
    </w:p>
    <w:p w14:paraId="74B50567" w14:textId="0CBCDBB9" w:rsidR="00946A17" w:rsidRPr="00147372" w:rsidRDefault="00946A17" w:rsidP="00946A17">
      <w:pPr>
        <w:jc w:val="both"/>
        <w:rPr>
          <w:rFonts w:ascii="Arial" w:hAnsi="Arial" w:cs="Arial"/>
          <w:sz w:val="24"/>
          <w:szCs w:val="24"/>
        </w:rPr>
      </w:pPr>
      <w:r w:rsidRPr="00147372">
        <w:rPr>
          <w:rFonts w:ascii="Arial" w:hAnsi="Arial" w:cs="Arial"/>
          <w:b/>
          <w:sz w:val="24"/>
          <w:szCs w:val="24"/>
        </w:rPr>
        <w:lastRenderedPageBreak/>
        <w:t>Gráfico 3</w:t>
      </w:r>
      <w:r w:rsidRPr="00147372">
        <w:rPr>
          <w:rFonts w:ascii="Arial" w:hAnsi="Arial" w:cs="Arial"/>
          <w:noProof/>
          <w:sz w:val="24"/>
          <w:szCs w:val="24"/>
          <w:lang w:eastAsia="es-CO"/>
        </w:rPr>
        <w:drawing>
          <wp:inline distT="0" distB="0" distL="0" distR="0" wp14:anchorId="6534841D" wp14:editId="5B378D7D">
            <wp:extent cx="5962650" cy="31051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F0336B">
        <w:rPr>
          <w:rFonts w:ascii="Arial" w:hAnsi="Arial" w:cs="Arial"/>
          <w:szCs w:val="24"/>
        </w:rPr>
        <w:t>Fuente: elaboración propia con datos de ASOBANCARIA, DANE Y CIFIN</w:t>
      </w:r>
    </w:p>
    <w:p w14:paraId="51191FF8" w14:textId="63A6FA70" w:rsidR="00946A17" w:rsidRPr="00B42834" w:rsidRDefault="00A44703" w:rsidP="00946A17">
      <w:pPr>
        <w:jc w:val="both"/>
        <w:rPr>
          <w:rFonts w:ascii="Arial" w:hAnsi="Arial" w:cs="Arial"/>
          <w:sz w:val="24"/>
          <w:szCs w:val="24"/>
        </w:rPr>
      </w:pPr>
      <w:r>
        <w:rPr>
          <w:rFonts w:ascii="Arial" w:hAnsi="Arial" w:cs="Arial"/>
          <w:sz w:val="24"/>
          <w:szCs w:val="24"/>
        </w:rPr>
        <w:t>Una de las consecuencias evidentes de la promulgación de la Ley 1266 de 2008, ha sido un aumento considerable de la demanda de servicios financieros de parte de la población de menores recursos. En este orden de ideas, desde el año 2008 ha sido un reto para el sistema financiero colombiano asumir a través de una oferta competitiva y lo suficientemente amplia, la necesidad de los colombianos de todas las regiones de acceder a mecanismos transaccionales adecuados a su contexto local. Los corresponsales bancarios ha</w:t>
      </w:r>
      <w:r w:rsidR="00B42834">
        <w:rPr>
          <w:rFonts w:ascii="Arial" w:hAnsi="Arial" w:cs="Arial"/>
          <w:sz w:val="24"/>
          <w:szCs w:val="24"/>
        </w:rPr>
        <w:t>n</w:t>
      </w:r>
      <w:r>
        <w:rPr>
          <w:rFonts w:ascii="Arial" w:hAnsi="Arial" w:cs="Arial"/>
          <w:sz w:val="24"/>
          <w:szCs w:val="24"/>
        </w:rPr>
        <w:t xml:space="preserve"> sido una de las respuestas más exitosas y de bajo costo a este nuevo panorama. Precisamente, es a partir del año 2008 que su crecimiento tiene efectos significativos en el país y que son reconocidos como un canal eficiente de interacción bancaria. </w:t>
      </w:r>
      <w:r w:rsidRPr="00147372">
        <w:rPr>
          <w:rFonts w:ascii="Arial" w:hAnsi="Arial" w:cs="Arial"/>
          <w:sz w:val="24"/>
          <w:szCs w:val="24"/>
        </w:rPr>
        <w:t>Según el informe especial de estabilidad financiera del Banco de la República de 2012, los corres</w:t>
      </w:r>
      <w:r>
        <w:rPr>
          <w:rFonts w:ascii="Arial" w:hAnsi="Arial" w:cs="Arial"/>
          <w:sz w:val="24"/>
          <w:szCs w:val="24"/>
        </w:rPr>
        <w:t>ponsales bancarios han tenido</w:t>
      </w:r>
      <w:r w:rsidRPr="00147372">
        <w:rPr>
          <w:rFonts w:ascii="Arial" w:hAnsi="Arial" w:cs="Arial"/>
          <w:sz w:val="24"/>
          <w:szCs w:val="24"/>
        </w:rPr>
        <w:t xml:space="preserve"> mayor influencia y penetración en zonas rurales, en donde la población tiene pocas pos</w:t>
      </w:r>
      <w:r>
        <w:rPr>
          <w:rFonts w:ascii="Arial" w:hAnsi="Arial" w:cs="Arial"/>
          <w:sz w:val="24"/>
          <w:szCs w:val="24"/>
        </w:rPr>
        <w:t xml:space="preserve">ibilidades de acceder a por lo </w:t>
      </w:r>
      <w:r w:rsidRPr="00147372">
        <w:rPr>
          <w:rFonts w:ascii="Arial" w:hAnsi="Arial" w:cs="Arial"/>
          <w:sz w:val="24"/>
          <w:szCs w:val="24"/>
        </w:rPr>
        <w:t>menos un producto financiero, y en los cuales es p</w:t>
      </w:r>
      <w:r>
        <w:rPr>
          <w:rFonts w:ascii="Arial" w:hAnsi="Arial" w:cs="Arial"/>
          <w:sz w:val="24"/>
          <w:szCs w:val="24"/>
        </w:rPr>
        <w:t>oco rentable abrir una sucursal</w:t>
      </w:r>
      <w:r w:rsidRPr="00147372">
        <w:rPr>
          <w:rFonts w:ascii="Arial" w:hAnsi="Arial" w:cs="Arial"/>
          <w:sz w:val="24"/>
          <w:szCs w:val="24"/>
        </w:rPr>
        <w:t xml:space="preserve"> por los bajos niveles de renta que existe</w:t>
      </w:r>
      <w:r>
        <w:rPr>
          <w:rFonts w:ascii="Arial" w:hAnsi="Arial" w:cs="Arial"/>
          <w:sz w:val="24"/>
          <w:szCs w:val="24"/>
        </w:rPr>
        <w:t>n</w:t>
      </w:r>
      <w:r w:rsidRPr="00147372">
        <w:rPr>
          <w:rFonts w:ascii="Arial" w:hAnsi="Arial" w:cs="Arial"/>
          <w:sz w:val="24"/>
          <w:szCs w:val="24"/>
        </w:rPr>
        <w:t xml:space="preserve"> en dichas zonas (Banco de la Republica, 2012).</w:t>
      </w:r>
      <w:r w:rsidR="00CE0A9E">
        <w:rPr>
          <w:rFonts w:ascii="Arial" w:hAnsi="Arial" w:cs="Arial"/>
          <w:sz w:val="24"/>
          <w:szCs w:val="24"/>
        </w:rPr>
        <w:t xml:space="preserve"> Así mismo, el Informe sobre Inclusión financiera de Asobancaria, refleja un </w:t>
      </w:r>
      <w:r w:rsidR="00CE0A9E">
        <w:rPr>
          <w:rFonts w:ascii="Arial" w:hAnsi="Arial" w:cs="Arial"/>
          <w:sz w:val="24"/>
          <w:szCs w:val="24"/>
        </w:rPr>
        <w:lastRenderedPageBreak/>
        <w:t xml:space="preserve">99,9% de cobertura de servicios financieros sobre </w:t>
      </w:r>
      <w:r w:rsidR="003E6C48">
        <w:rPr>
          <w:rFonts w:ascii="Arial" w:hAnsi="Arial" w:cs="Arial"/>
          <w:sz w:val="24"/>
          <w:szCs w:val="24"/>
        </w:rPr>
        <w:t>los municipios d</w:t>
      </w:r>
      <w:r w:rsidR="00CE0A9E">
        <w:rPr>
          <w:rFonts w:ascii="Arial" w:hAnsi="Arial" w:cs="Arial"/>
          <w:sz w:val="24"/>
          <w:szCs w:val="24"/>
        </w:rPr>
        <w:t>el territorio nacional (López Pérez, Rubén, 2014).</w:t>
      </w:r>
    </w:p>
    <w:p w14:paraId="03163177" w14:textId="077B1E03" w:rsidR="00946A17" w:rsidRPr="00B42834" w:rsidRDefault="00946A17" w:rsidP="00946A17">
      <w:pPr>
        <w:jc w:val="both"/>
        <w:rPr>
          <w:rFonts w:ascii="Arial" w:hAnsi="Arial" w:cs="Arial"/>
          <w:b/>
          <w:sz w:val="24"/>
          <w:szCs w:val="24"/>
        </w:rPr>
      </w:pPr>
      <w:r>
        <w:rPr>
          <w:rFonts w:ascii="Arial" w:hAnsi="Arial" w:cs="Arial"/>
          <w:b/>
          <w:sz w:val="24"/>
          <w:szCs w:val="24"/>
        </w:rPr>
        <w:t>Grá</w:t>
      </w:r>
      <w:r w:rsidRPr="00147372">
        <w:rPr>
          <w:rFonts w:ascii="Arial" w:hAnsi="Arial" w:cs="Arial"/>
          <w:b/>
          <w:sz w:val="24"/>
          <w:szCs w:val="24"/>
        </w:rPr>
        <w:t>fico 4</w:t>
      </w:r>
    </w:p>
    <w:p w14:paraId="7AE5D5B4" w14:textId="29E3B7AE" w:rsidR="00946A17" w:rsidRDefault="00167429" w:rsidP="00946A17">
      <w:pPr>
        <w:jc w:val="both"/>
        <w:rPr>
          <w:rFonts w:ascii="Arial" w:hAnsi="Arial" w:cs="Arial"/>
          <w:szCs w:val="24"/>
        </w:rPr>
      </w:pPr>
      <w:r>
        <w:rPr>
          <w:noProof/>
          <w:lang w:eastAsia="es-CO"/>
        </w:rPr>
        <w:drawing>
          <wp:inline distT="0" distB="0" distL="0" distR="0" wp14:anchorId="200A64AE" wp14:editId="5FBF24FB">
            <wp:extent cx="6038850" cy="27813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946A17" w:rsidRPr="00256750">
        <w:rPr>
          <w:rFonts w:ascii="Arial" w:hAnsi="Arial" w:cs="Arial"/>
          <w:szCs w:val="24"/>
        </w:rPr>
        <w:t>Fuente: elaboración propia con datos de Asobancaria.</w:t>
      </w:r>
    </w:p>
    <w:p w14:paraId="4E0C3829" w14:textId="77777777" w:rsidR="00B42834" w:rsidRDefault="00B42834" w:rsidP="00946A17">
      <w:pPr>
        <w:jc w:val="both"/>
        <w:rPr>
          <w:rFonts w:ascii="Arial" w:hAnsi="Arial" w:cs="Arial"/>
          <w:szCs w:val="24"/>
        </w:rPr>
      </w:pPr>
    </w:p>
    <w:p w14:paraId="5B83CF28" w14:textId="10C73018" w:rsidR="00B42834" w:rsidRPr="00B42834" w:rsidRDefault="00B42834" w:rsidP="00946A17">
      <w:pPr>
        <w:jc w:val="both"/>
        <w:rPr>
          <w:rFonts w:ascii="Arial" w:hAnsi="Arial" w:cs="Arial"/>
          <w:sz w:val="24"/>
          <w:szCs w:val="24"/>
        </w:rPr>
      </w:pPr>
      <w:r w:rsidRPr="00B42834">
        <w:rPr>
          <w:rFonts w:ascii="Arial" w:hAnsi="Arial" w:cs="Arial"/>
          <w:sz w:val="24"/>
          <w:szCs w:val="24"/>
        </w:rPr>
        <w:t xml:space="preserve">El proceso paulatino de bancarización </w:t>
      </w:r>
      <w:r w:rsidR="005D1045">
        <w:rPr>
          <w:rFonts w:ascii="Arial" w:hAnsi="Arial" w:cs="Arial"/>
          <w:sz w:val="24"/>
          <w:szCs w:val="24"/>
        </w:rPr>
        <w:t>al que ha estado sujeta</w:t>
      </w:r>
      <w:r>
        <w:rPr>
          <w:rFonts w:ascii="Arial" w:hAnsi="Arial" w:cs="Arial"/>
          <w:sz w:val="24"/>
          <w:szCs w:val="24"/>
        </w:rPr>
        <w:t xml:space="preserve"> la economía colombiana tiene un impacto que va más allá del aumento nominal de los índices de inclusión financiera. </w:t>
      </w:r>
      <w:r w:rsidR="00CE0A9E">
        <w:rPr>
          <w:rFonts w:ascii="Arial" w:hAnsi="Arial" w:cs="Arial"/>
          <w:sz w:val="24"/>
          <w:szCs w:val="24"/>
        </w:rPr>
        <w:t>De hecho</w:t>
      </w:r>
      <w:r>
        <w:rPr>
          <w:rFonts w:ascii="Arial" w:hAnsi="Arial" w:cs="Arial"/>
          <w:sz w:val="24"/>
          <w:szCs w:val="24"/>
        </w:rPr>
        <w:t>, de la mano de lo planteado al inicio de esta exposición, pu</w:t>
      </w:r>
      <w:r w:rsidR="005D1045">
        <w:rPr>
          <w:rFonts w:ascii="Arial" w:hAnsi="Arial" w:cs="Arial"/>
          <w:sz w:val="24"/>
          <w:szCs w:val="24"/>
        </w:rPr>
        <w:t>ede evidenciarse que tiene un efecto directo</w:t>
      </w:r>
      <w:r>
        <w:rPr>
          <w:rFonts w:ascii="Arial" w:hAnsi="Arial" w:cs="Arial"/>
          <w:sz w:val="24"/>
          <w:szCs w:val="24"/>
        </w:rPr>
        <w:t xml:space="preserve"> sobre la incidencia de pobreza a nivel nacional. </w:t>
      </w:r>
      <w:r w:rsidR="00CE0A9E">
        <w:rPr>
          <w:rFonts w:ascii="Arial" w:hAnsi="Arial" w:cs="Arial"/>
          <w:sz w:val="24"/>
          <w:szCs w:val="24"/>
        </w:rPr>
        <w:t>Así</w:t>
      </w:r>
      <w:r w:rsidR="005D1045">
        <w:rPr>
          <w:rFonts w:ascii="Arial" w:hAnsi="Arial" w:cs="Arial"/>
          <w:sz w:val="24"/>
          <w:szCs w:val="24"/>
        </w:rPr>
        <w:t>, como lo ilustra el gráfico 5, el proceso de bancarización ha estado ligado al incremento del microcrédito que, sea dicho de paso, se ha expandido gracias a la demanda que ha generado la población económicamente más vulnerable</w:t>
      </w:r>
      <w:r w:rsidR="00CE0A9E">
        <w:rPr>
          <w:rFonts w:ascii="Arial" w:hAnsi="Arial" w:cs="Arial"/>
          <w:sz w:val="24"/>
          <w:szCs w:val="24"/>
        </w:rPr>
        <w:t>, estimulada en parte por la Ley 1266 de 2008</w:t>
      </w:r>
      <w:r w:rsidR="005D1045">
        <w:rPr>
          <w:rFonts w:ascii="Arial" w:hAnsi="Arial" w:cs="Arial"/>
          <w:sz w:val="24"/>
          <w:szCs w:val="24"/>
        </w:rPr>
        <w:t>.</w:t>
      </w:r>
    </w:p>
    <w:p w14:paraId="1379F3F1" w14:textId="77777777" w:rsidR="003142DE" w:rsidRDefault="003142DE" w:rsidP="00946A17">
      <w:pPr>
        <w:jc w:val="both"/>
        <w:rPr>
          <w:rFonts w:ascii="Arial" w:hAnsi="Arial" w:cs="Arial"/>
          <w:b/>
          <w:sz w:val="24"/>
          <w:szCs w:val="24"/>
        </w:rPr>
      </w:pPr>
    </w:p>
    <w:p w14:paraId="2A863540" w14:textId="77777777" w:rsidR="008D30A3" w:rsidRDefault="008D30A3" w:rsidP="00946A17">
      <w:pPr>
        <w:jc w:val="both"/>
        <w:rPr>
          <w:rFonts w:ascii="Arial" w:hAnsi="Arial" w:cs="Arial"/>
          <w:b/>
          <w:sz w:val="24"/>
          <w:szCs w:val="24"/>
        </w:rPr>
      </w:pPr>
    </w:p>
    <w:p w14:paraId="79B59922" w14:textId="77777777" w:rsidR="008D30A3" w:rsidRDefault="008D30A3" w:rsidP="00946A17">
      <w:pPr>
        <w:jc w:val="both"/>
        <w:rPr>
          <w:rFonts w:ascii="Arial" w:hAnsi="Arial" w:cs="Arial"/>
          <w:b/>
          <w:sz w:val="24"/>
          <w:szCs w:val="24"/>
        </w:rPr>
      </w:pPr>
    </w:p>
    <w:p w14:paraId="6E766890" w14:textId="00B262D0" w:rsidR="00B42834" w:rsidRPr="00B42834" w:rsidRDefault="00B42834" w:rsidP="00946A17">
      <w:pPr>
        <w:jc w:val="both"/>
        <w:rPr>
          <w:rFonts w:ascii="Arial" w:hAnsi="Arial" w:cs="Arial"/>
          <w:b/>
          <w:sz w:val="24"/>
          <w:szCs w:val="24"/>
        </w:rPr>
      </w:pPr>
      <w:r w:rsidRPr="00147372">
        <w:rPr>
          <w:rFonts w:ascii="Arial" w:hAnsi="Arial" w:cs="Arial"/>
          <w:b/>
          <w:sz w:val="24"/>
          <w:szCs w:val="24"/>
        </w:rPr>
        <w:lastRenderedPageBreak/>
        <w:t>Gráfico 5</w:t>
      </w:r>
    </w:p>
    <w:p w14:paraId="14A0BC4C" w14:textId="756479B6" w:rsidR="00B42834" w:rsidRPr="00147372" w:rsidRDefault="00B42834" w:rsidP="00946A17">
      <w:pPr>
        <w:jc w:val="both"/>
        <w:rPr>
          <w:rFonts w:ascii="Arial" w:hAnsi="Arial" w:cs="Arial"/>
          <w:sz w:val="24"/>
          <w:szCs w:val="24"/>
        </w:rPr>
      </w:pPr>
      <w:r w:rsidRPr="00147372">
        <w:rPr>
          <w:rFonts w:ascii="Arial" w:hAnsi="Arial" w:cs="Arial"/>
          <w:noProof/>
          <w:sz w:val="24"/>
          <w:szCs w:val="24"/>
          <w:lang w:eastAsia="es-CO"/>
        </w:rPr>
        <w:drawing>
          <wp:inline distT="0" distB="0" distL="0" distR="0" wp14:anchorId="2A9E2D9C" wp14:editId="680B440A">
            <wp:extent cx="5612130" cy="2564541"/>
            <wp:effectExtent l="0" t="0" r="7620" b="762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47BA74" w14:textId="77777777" w:rsidR="005D1045" w:rsidRDefault="00B42834" w:rsidP="00946A17">
      <w:pPr>
        <w:jc w:val="both"/>
        <w:rPr>
          <w:rFonts w:ascii="Arial" w:hAnsi="Arial" w:cs="Arial"/>
          <w:szCs w:val="24"/>
        </w:rPr>
      </w:pPr>
      <w:r w:rsidRPr="00256750">
        <w:rPr>
          <w:rFonts w:ascii="Arial" w:hAnsi="Arial" w:cs="Arial"/>
          <w:sz w:val="20"/>
          <w:szCs w:val="24"/>
        </w:rPr>
        <w:t>Fuente: elaboración propia con datos de ASOBANCARIA, DANE Y CIFIN</w:t>
      </w:r>
    </w:p>
    <w:p w14:paraId="6E983AC7" w14:textId="448CD0BA" w:rsidR="00FA74D2" w:rsidRPr="005D1045" w:rsidRDefault="005D1045" w:rsidP="00946A17">
      <w:pPr>
        <w:jc w:val="both"/>
        <w:rPr>
          <w:rFonts w:ascii="Arial" w:hAnsi="Arial" w:cs="Arial"/>
          <w:szCs w:val="24"/>
        </w:rPr>
      </w:pPr>
      <w:r>
        <w:rPr>
          <w:rFonts w:ascii="Arial" w:hAnsi="Arial" w:cs="Arial"/>
          <w:sz w:val="24"/>
          <w:szCs w:val="24"/>
        </w:rPr>
        <w:t xml:space="preserve">El microcrédito ha sido una de las herramientas de mayor relevancia para combatir la pobreza. Como se observa en el gráfico 6, en la medida en que éste aumenta desde el año 2008, la incidencia de la pobreza disminuye. </w:t>
      </w:r>
      <w:r w:rsidR="00946A17">
        <w:rPr>
          <w:rFonts w:ascii="Arial" w:hAnsi="Arial" w:cs="Arial"/>
          <w:sz w:val="24"/>
          <w:szCs w:val="24"/>
        </w:rPr>
        <w:t xml:space="preserve">En parte, debido al aumento en </w:t>
      </w:r>
      <w:r w:rsidR="00946A17" w:rsidRPr="00147372">
        <w:rPr>
          <w:rFonts w:ascii="Arial" w:hAnsi="Arial" w:cs="Arial"/>
          <w:sz w:val="24"/>
          <w:szCs w:val="24"/>
        </w:rPr>
        <w:t xml:space="preserve">el acceso </w:t>
      </w:r>
      <w:r w:rsidR="00946A17">
        <w:rPr>
          <w:rFonts w:ascii="Arial" w:hAnsi="Arial" w:cs="Arial"/>
          <w:sz w:val="24"/>
          <w:szCs w:val="24"/>
        </w:rPr>
        <w:t xml:space="preserve">de la población menos favorecida </w:t>
      </w:r>
      <w:r w:rsidR="00946A17" w:rsidRPr="00147372">
        <w:rPr>
          <w:rFonts w:ascii="Arial" w:hAnsi="Arial" w:cs="Arial"/>
          <w:sz w:val="24"/>
          <w:szCs w:val="24"/>
        </w:rPr>
        <w:t>a los servicios</w:t>
      </w:r>
      <w:r w:rsidR="00CE0A9E">
        <w:rPr>
          <w:rFonts w:ascii="Arial" w:hAnsi="Arial" w:cs="Arial"/>
          <w:sz w:val="24"/>
          <w:szCs w:val="24"/>
        </w:rPr>
        <w:t xml:space="preserve"> financieros</w:t>
      </w:r>
      <w:r w:rsidR="00946A17">
        <w:rPr>
          <w:rFonts w:ascii="Arial" w:hAnsi="Arial" w:cs="Arial"/>
          <w:sz w:val="24"/>
          <w:szCs w:val="24"/>
        </w:rPr>
        <w:t xml:space="preserve"> y al </w:t>
      </w:r>
      <w:r w:rsidR="00946A17" w:rsidRPr="00147372">
        <w:rPr>
          <w:rFonts w:ascii="Arial" w:hAnsi="Arial" w:cs="Arial"/>
          <w:sz w:val="24"/>
          <w:szCs w:val="24"/>
        </w:rPr>
        <w:t>crecimiento en los niveles de bancarización e inclusión financiera, se ha</w:t>
      </w:r>
      <w:r w:rsidR="00CE0A9E">
        <w:rPr>
          <w:rFonts w:ascii="Arial" w:hAnsi="Arial" w:cs="Arial"/>
          <w:sz w:val="24"/>
          <w:szCs w:val="24"/>
        </w:rPr>
        <w:t>n</w:t>
      </w:r>
      <w:r w:rsidR="00946A17" w:rsidRPr="00147372">
        <w:rPr>
          <w:rFonts w:ascii="Arial" w:hAnsi="Arial" w:cs="Arial"/>
          <w:sz w:val="24"/>
          <w:szCs w:val="24"/>
        </w:rPr>
        <w:t xml:space="preserve"> logrado disminuir los índices de pobreza</w:t>
      </w:r>
      <w:r w:rsidR="00946A17">
        <w:rPr>
          <w:rFonts w:ascii="Arial" w:hAnsi="Arial" w:cs="Arial"/>
          <w:sz w:val="24"/>
          <w:szCs w:val="24"/>
        </w:rPr>
        <w:t xml:space="preserve"> en el país</w:t>
      </w:r>
      <w:r w:rsidR="00946A17" w:rsidRPr="00147372">
        <w:rPr>
          <w:rFonts w:ascii="Arial" w:hAnsi="Arial" w:cs="Arial"/>
          <w:sz w:val="24"/>
          <w:szCs w:val="24"/>
        </w:rPr>
        <w:t xml:space="preserve">. </w:t>
      </w:r>
      <w:r>
        <w:rPr>
          <w:rFonts w:ascii="Arial" w:hAnsi="Arial" w:cs="Arial"/>
          <w:sz w:val="24"/>
          <w:szCs w:val="24"/>
        </w:rPr>
        <w:t>Es natural que esto ocurra, pues el acceso a este tipo de herramientas le permite a los segmentos poblacionales históricamente excluidos de la dinámica económica nacional, sumar</w:t>
      </w:r>
      <w:r w:rsidR="00CE0A9E">
        <w:rPr>
          <w:rFonts w:ascii="Arial" w:hAnsi="Arial" w:cs="Arial"/>
          <w:sz w:val="24"/>
          <w:szCs w:val="24"/>
        </w:rPr>
        <w:t>se a ésta a través de</w:t>
      </w:r>
      <w:r>
        <w:rPr>
          <w:rFonts w:ascii="Arial" w:hAnsi="Arial" w:cs="Arial"/>
          <w:sz w:val="24"/>
          <w:szCs w:val="24"/>
        </w:rPr>
        <w:t xml:space="preserve">l consumo y </w:t>
      </w:r>
      <w:r w:rsidR="00CE0A9E">
        <w:rPr>
          <w:rFonts w:ascii="Arial" w:hAnsi="Arial" w:cs="Arial"/>
          <w:sz w:val="24"/>
          <w:szCs w:val="24"/>
        </w:rPr>
        <w:t>d</w:t>
      </w:r>
      <w:r>
        <w:rPr>
          <w:rFonts w:ascii="Arial" w:hAnsi="Arial" w:cs="Arial"/>
          <w:sz w:val="24"/>
          <w:szCs w:val="24"/>
        </w:rPr>
        <w:t xml:space="preserve">el ahorro, generando riqueza a mediano y largo plazo. </w:t>
      </w:r>
    </w:p>
    <w:p w14:paraId="48900D89" w14:textId="77777777" w:rsidR="003142DE" w:rsidRDefault="003142DE" w:rsidP="00946A17">
      <w:pPr>
        <w:jc w:val="both"/>
        <w:rPr>
          <w:rFonts w:ascii="Arial" w:hAnsi="Arial" w:cs="Arial"/>
          <w:b/>
          <w:sz w:val="24"/>
          <w:szCs w:val="24"/>
        </w:rPr>
      </w:pPr>
    </w:p>
    <w:p w14:paraId="59642852" w14:textId="77777777" w:rsidR="003142DE" w:rsidRDefault="003142DE" w:rsidP="00946A17">
      <w:pPr>
        <w:jc w:val="both"/>
        <w:rPr>
          <w:rFonts w:ascii="Arial" w:hAnsi="Arial" w:cs="Arial"/>
          <w:b/>
          <w:sz w:val="24"/>
          <w:szCs w:val="24"/>
        </w:rPr>
      </w:pPr>
    </w:p>
    <w:p w14:paraId="726BACAD" w14:textId="77777777" w:rsidR="003142DE" w:rsidRDefault="003142DE" w:rsidP="00946A17">
      <w:pPr>
        <w:jc w:val="both"/>
        <w:rPr>
          <w:rFonts w:ascii="Arial" w:hAnsi="Arial" w:cs="Arial"/>
          <w:b/>
          <w:sz w:val="24"/>
          <w:szCs w:val="24"/>
        </w:rPr>
      </w:pPr>
    </w:p>
    <w:p w14:paraId="640CF5C0" w14:textId="77777777" w:rsidR="003142DE" w:rsidRDefault="003142DE" w:rsidP="00946A17">
      <w:pPr>
        <w:jc w:val="both"/>
        <w:rPr>
          <w:rFonts w:ascii="Arial" w:hAnsi="Arial" w:cs="Arial"/>
          <w:b/>
          <w:sz w:val="24"/>
          <w:szCs w:val="24"/>
        </w:rPr>
      </w:pPr>
    </w:p>
    <w:p w14:paraId="61DEE2EE" w14:textId="6113C76C" w:rsidR="00946A17" w:rsidRPr="00FA74D2" w:rsidRDefault="00946A17" w:rsidP="00946A17">
      <w:pPr>
        <w:jc w:val="both"/>
        <w:rPr>
          <w:rFonts w:ascii="Arial" w:hAnsi="Arial" w:cs="Arial"/>
          <w:sz w:val="24"/>
          <w:szCs w:val="24"/>
        </w:rPr>
      </w:pPr>
      <w:r w:rsidRPr="00147372">
        <w:rPr>
          <w:rFonts w:ascii="Arial" w:hAnsi="Arial" w:cs="Arial"/>
          <w:b/>
          <w:sz w:val="24"/>
          <w:szCs w:val="24"/>
        </w:rPr>
        <w:lastRenderedPageBreak/>
        <w:t>Gráfico 6</w:t>
      </w:r>
    </w:p>
    <w:p w14:paraId="3EB49FE0" w14:textId="285466E5" w:rsidR="00946A17" w:rsidRPr="00C949B4" w:rsidRDefault="00052841" w:rsidP="00946A17">
      <w:pPr>
        <w:jc w:val="both"/>
        <w:rPr>
          <w:rFonts w:ascii="Arial" w:hAnsi="Arial" w:cs="Arial"/>
          <w:szCs w:val="10"/>
        </w:rPr>
      </w:pPr>
      <w:r>
        <w:rPr>
          <w:noProof/>
          <w:lang w:eastAsia="es-CO"/>
        </w:rPr>
        <w:drawing>
          <wp:inline distT="0" distB="0" distL="0" distR="0" wp14:anchorId="3D2B717A" wp14:editId="1CFA78D9">
            <wp:extent cx="5953125" cy="2847975"/>
            <wp:effectExtent l="0" t="0" r="952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46A17" w:rsidRPr="00C949B4">
        <w:rPr>
          <w:rFonts w:ascii="Arial" w:hAnsi="Arial" w:cs="Arial"/>
          <w:szCs w:val="10"/>
        </w:rPr>
        <w:t>Fuente: elaboración propia con datos de Asobancaria, DANE y SFC.</w:t>
      </w:r>
      <w:r w:rsidR="00946A17">
        <w:rPr>
          <w:rFonts w:ascii="Arial" w:hAnsi="Arial" w:cs="Arial"/>
          <w:szCs w:val="10"/>
        </w:rPr>
        <w:t xml:space="preserve">  </w:t>
      </w:r>
      <w:r w:rsidR="00946A17" w:rsidRPr="00C949B4">
        <w:rPr>
          <w:rFonts w:ascii="Arial" w:hAnsi="Arial" w:cs="Arial"/>
          <w:b/>
          <w:szCs w:val="10"/>
        </w:rPr>
        <w:t>Nota: los datos de 2006 y 2007</w:t>
      </w:r>
      <w:r w:rsidR="006D2AD9">
        <w:rPr>
          <w:rFonts w:ascii="Arial" w:hAnsi="Arial" w:cs="Arial"/>
          <w:b/>
          <w:szCs w:val="10"/>
        </w:rPr>
        <w:t>, corresponden a una proyección propia, en tanto la fuente no los ha calculado</w:t>
      </w:r>
      <w:r w:rsidR="00946A17" w:rsidRPr="00C949B4">
        <w:rPr>
          <w:rFonts w:ascii="Arial" w:hAnsi="Arial" w:cs="Arial"/>
          <w:b/>
          <w:szCs w:val="10"/>
        </w:rPr>
        <w:t xml:space="preserve"> por comparabilidad en las series de empleo y pobreza como resultado de cambio metodológico</w:t>
      </w:r>
      <w:r w:rsidR="006D2AD9">
        <w:rPr>
          <w:rFonts w:ascii="Arial" w:hAnsi="Arial" w:cs="Arial"/>
          <w:b/>
          <w:szCs w:val="10"/>
        </w:rPr>
        <w:t>.</w:t>
      </w:r>
    </w:p>
    <w:p w14:paraId="32661EEE" w14:textId="6B00F2A3" w:rsidR="00946A17" w:rsidRDefault="00CE0A9E" w:rsidP="00946A17">
      <w:pPr>
        <w:jc w:val="both"/>
        <w:rPr>
          <w:rFonts w:ascii="Arial" w:hAnsi="Arial" w:cs="Arial"/>
          <w:sz w:val="24"/>
          <w:szCs w:val="24"/>
        </w:rPr>
      </w:pPr>
      <w:r>
        <w:rPr>
          <w:rFonts w:ascii="Arial" w:hAnsi="Arial" w:cs="Arial"/>
          <w:sz w:val="24"/>
          <w:szCs w:val="24"/>
        </w:rPr>
        <w:t>Según cifras oficiales, gracias</w:t>
      </w:r>
      <w:r w:rsidR="00946A17" w:rsidRPr="00147372">
        <w:rPr>
          <w:rFonts w:ascii="Arial" w:hAnsi="Arial" w:cs="Arial"/>
          <w:sz w:val="24"/>
          <w:szCs w:val="24"/>
        </w:rPr>
        <w:t xml:space="preserve"> al </w:t>
      </w:r>
      <w:r>
        <w:rPr>
          <w:rFonts w:ascii="Arial" w:hAnsi="Arial" w:cs="Arial"/>
          <w:sz w:val="24"/>
          <w:szCs w:val="24"/>
        </w:rPr>
        <w:t>crecimiento de las microfinanzas</w:t>
      </w:r>
      <w:r w:rsidR="003B4C9C">
        <w:rPr>
          <w:rFonts w:ascii="Arial" w:hAnsi="Arial" w:cs="Arial"/>
          <w:sz w:val="24"/>
          <w:szCs w:val="24"/>
        </w:rPr>
        <w:t xml:space="preserve"> (que como lo ilustra el gráfico 6 tienen un importante aumento desde </w:t>
      </w:r>
      <w:r w:rsidR="003E6C48">
        <w:rPr>
          <w:rFonts w:ascii="Arial" w:hAnsi="Arial" w:cs="Arial"/>
          <w:sz w:val="24"/>
          <w:szCs w:val="24"/>
        </w:rPr>
        <w:t>los años</w:t>
      </w:r>
      <w:r w:rsidR="003B4C9C">
        <w:rPr>
          <w:rFonts w:ascii="Arial" w:hAnsi="Arial" w:cs="Arial"/>
          <w:sz w:val="24"/>
          <w:szCs w:val="24"/>
        </w:rPr>
        <w:t xml:space="preserve"> 2008-2009),</w:t>
      </w:r>
      <w:r w:rsidR="00946A17" w:rsidRPr="00147372">
        <w:rPr>
          <w:rFonts w:ascii="Arial" w:hAnsi="Arial" w:cs="Arial"/>
          <w:sz w:val="24"/>
          <w:szCs w:val="24"/>
        </w:rPr>
        <w:t xml:space="preserve"> en los últimos 4 años 4.4 millones de personas han dejado de ser pobres y 2.5</w:t>
      </w:r>
      <w:r w:rsidR="00946A17">
        <w:rPr>
          <w:rFonts w:ascii="Arial" w:hAnsi="Arial" w:cs="Arial"/>
          <w:sz w:val="24"/>
          <w:szCs w:val="24"/>
        </w:rPr>
        <w:t xml:space="preserve"> millones</w:t>
      </w:r>
      <w:r w:rsidR="00946A17" w:rsidRPr="00147372">
        <w:rPr>
          <w:rFonts w:ascii="Arial" w:hAnsi="Arial" w:cs="Arial"/>
          <w:sz w:val="24"/>
          <w:szCs w:val="24"/>
        </w:rPr>
        <w:t xml:space="preserve"> han logrado salir de la pobreza extrema, logrando una reducción de 8,7 y 4,2 puntos porcentuales</w:t>
      </w:r>
      <w:r w:rsidR="00946A17">
        <w:rPr>
          <w:rFonts w:ascii="Arial" w:hAnsi="Arial" w:cs="Arial"/>
          <w:sz w:val="24"/>
          <w:szCs w:val="24"/>
        </w:rPr>
        <w:t>,</w:t>
      </w:r>
      <w:r w:rsidR="00946A17" w:rsidRPr="00147372">
        <w:rPr>
          <w:rFonts w:ascii="Arial" w:hAnsi="Arial" w:cs="Arial"/>
          <w:sz w:val="24"/>
          <w:szCs w:val="24"/>
        </w:rPr>
        <w:t xml:space="preserve"> respectivamente</w:t>
      </w:r>
      <w:sdt>
        <w:sdtPr>
          <w:rPr>
            <w:rFonts w:ascii="Arial" w:hAnsi="Arial" w:cs="Arial"/>
            <w:sz w:val="24"/>
            <w:szCs w:val="24"/>
          </w:rPr>
          <w:id w:val="1360941262"/>
          <w:citation/>
        </w:sdtPr>
        <w:sdtEndPr/>
        <w:sdtContent>
          <w:r w:rsidR="00946A17">
            <w:rPr>
              <w:rFonts w:ascii="Arial" w:hAnsi="Arial" w:cs="Arial"/>
              <w:sz w:val="24"/>
              <w:szCs w:val="24"/>
            </w:rPr>
            <w:fldChar w:fldCharType="begin"/>
          </w:r>
          <w:r w:rsidR="00946A17">
            <w:rPr>
              <w:rFonts w:ascii="Arial" w:hAnsi="Arial" w:cs="Arial"/>
              <w:sz w:val="24"/>
              <w:szCs w:val="24"/>
            </w:rPr>
            <w:instrText xml:space="preserve">CITATION min15 \l 9226 </w:instrText>
          </w:r>
          <w:r w:rsidR="00946A17">
            <w:rPr>
              <w:rFonts w:ascii="Arial" w:hAnsi="Arial" w:cs="Arial"/>
              <w:sz w:val="24"/>
              <w:szCs w:val="24"/>
            </w:rPr>
            <w:fldChar w:fldCharType="separate"/>
          </w:r>
          <w:r w:rsidR="00946A17">
            <w:rPr>
              <w:rFonts w:ascii="Arial" w:hAnsi="Arial" w:cs="Arial"/>
              <w:noProof/>
              <w:sz w:val="24"/>
              <w:szCs w:val="24"/>
            </w:rPr>
            <w:t xml:space="preserve"> </w:t>
          </w:r>
          <w:r w:rsidR="00946A17" w:rsidRPr="00C949B4">
            <w:rPr>
              <w:rFonts w:ascii="Arial" w:hAnsi="Arial" w:cs="Arial"/>
              <w:noProof/>
              <w:sz w:val="24"/>
              <w:szCs w:val="24"/>
            </w:rPr>
            <w:t>(Semana, 2015)</w:t>
          </w:r>
          <w:r w:rsidR="00946A17">
            <w:rPr>
              <w:rFonts w:ascii="Arial" w:hAnsi="Arial" w:cs="Arial"/>
              <w:sz w:val="24"/>
              <w:szCs w:val="24"/>
            </w:rPr>
            <w:fldChar w:fldCharType="end"/>
          </w:r>
        </w:sdtContent>
      </w:sdt>
      <w:r w:rsidR="00946A17">
        <w:rPr>
          <w:rFonts w:ascii="Arial" w:hAnsi="Arial" w:cs="Arial"/>
          <w:sz w:val="24"/>
          <w:szCs w:val="24"/>
        </w:rPr>
        <w:t>.</w:t>
      </w:r>
    </w:p>
    <w:p w14:paraId="12BD600A" w14:textId="46FE5BA4" w:rsidR="00946A17" w:rsidRDefault="00946A17" w:rsidP="00946A17">
      <w:pPr>
        <w:jc w:val="both"/>
        <w:rPr>
          <w:rFonts w:ascii="Arial" w:hAnsi="Arial" w:cs="Arial"/>
          <w:sz w:val="24"/>
          <w:szCs w:val="24"/>
        </w:rPr>
      </w:pPr>
      <w:r>
        <w:rPr>
          <w:rFonts w:ascii="Arial" w:hAnsi="Arial" w:cs="Arial"/>
          <w:sz w:val="24"/>
          <w:szCs w:val="24"/>
        </w:rPr>
        <w:t>La evidencia presentada es solo uno de los argumentos económicos a favor de la Ley del Hábeas Data Financiero. Su promulgación ha significado un alivio para todos aquellos ciudadanos que en su condición de consumidores financieros, han visto vulnerado su derecho a “</w:t>
      </w:r>
      <w:r w:rsidRPr="00A74159">
        <w:rPr>
          <w:rFonts w:ascii="Arial" w:hAnsi="Arial" w:cs="Arial"/>
          <w:sz w:val="24"/>
          <w:szCs w:val="24"/>
        </w:rPr>
        <w:t xml:space="preserve">conocer, actualizar y rectificar las informaciones que se hayan recogido sobre </w:t>
      </w:r>
      <w:r w:rsidR="00037B41">
        <w:rPr>
          <w:rFonts w:ascii="Arial" w:hAnsi="Arial" w:cs="Arial"/>
          <w:sz w:val="24"/>
          <w:szCs w:val="24"/>
        </w:rPr>
        <w:t>(ellos)</w:t>
      </w:r>
      <w:r w:rsidRPr="00A74159">
        <w:rPr>
          <w:rFonts w:ascii="Arial" w:hAnsi="Arial" w:cs="Arial"/>
          <w:sz w:val="24"/>
          <w:szCs w:val="24"/>
        </w:rPr>
        <w:t xml:space="preserve"> en bancos de datos y en archivos de entidades públicas y privadas</w:t>
      </w:r>
      <w:r>
        <w:rPr>
          <w:rFonts w:ascii="Arial" w:hAnsi="Arial" w:cs="Arial"/>
          <w:sz w:val="24"/>
          <w:szCs w:val="24"/>
        </w:rPr>
        <w:t>”. (Constitución Política de Colombia, art. 15.) Sin embargo,</w:t>
      </w:r>
      <w:r w:rsidR="003B4C9C">
        <w:rPr>
          <w:rFonts w:ascii="Arial" w:hAnsi="Arial" w:cs="Arial"/>
          <w:sz w:val="24"/>
          <w:szCs w:val="24"/>
        </w:rPr>
        <w:t xml:space="preserve"> con el fin de seguir garantizando a todos los colombianos su derecho constitucional al </w:t>
      </w:r>
      <w:r w:rsidR="003B4C9C">
        <w:rPr>
          <w:rFonts w:ascii="Arial" w:hAnsi="Arial" w:cs="Arial"/>
          <w:sz w:val="24"/>
          <w:szCs w:val="24"/>
        </w:rPr>
        <w:lastRenderedPageBreak/>
        <w:t xml:space="preserve">Hábeas Data, es necesario actualizar la Ley de acuerdo a las nuevas situaciones que han significado una violación del derecho tras </w:t>
      </w:r>
      <w:r w:rsidR="003E6C48">
        <w:rPr>
          <w:rFonts w:ascii="Arial" w:hAnsi="Arial" w:cs="Arial"/>
          <w:sz w:val="24"/>
          <w:szCs w:val="24"/>
        </w:rPr>
        <w:t>la puesta en vigor de la Ley</w:t>
      </w:r>
      <w:r w:rsidR="003B4C9C">
        <w:rPr>
          <w:rFonts w:ascii="Arial" w:hAnsi="Arial" w:cs="Arial"/>
          <w:sz w:val="24"/>
          <w:szCs w:val="24"/>
        </w:rPr>
        <w:t>.</w:t>
      </w:r>
    </w:p>
    <w:p w14:paraId="3D89F001" w14:textId="074F9F11" w:rsidR="00BA2678" w:rsidRPr="009A5BDA" w:rsidRDefault="009A5BDA" w:rsidP="00946A17">
      <w:pPr>
        <w:jc w:val="both"/>
        <w:rPr>
          <w:rFonts w:ascii="Arial" w:hAnsi="Arial" w:cs="Arial"/>
          <w:b/>
          <w:sz w:val="24"/>
          <w:szCs w:val="24"/>
        </w:rPr>
      </w:pPr>
      <w:r w:rsidRPr="009A5BDA">
        <w:rPr>
          <w:rFonts w:ascii="Arial" w:hAnsi="Arial" w:cs="Arial"/>
          <w:b/>
          <w:sz w:val="24"/>
          <w:szCs w:val="24"/>
        </w:rPr>
        <w:t>Hábeas Data y posconflicto</w:t>
      </w:r>
    </w:p>
    <w:p w14:paraId="11370681" w14:textId="53A71522" w:rsidR="00782C25" w:rsidRDefault="009A5BDA" w:rsidP="00946A17">
      <w:pPr>
        <w:jc w:val="both"/>
        <w:rPr>
          <w:rFonts w:ascii="Arial" w:hAnsi="Arial" w:cs="Arial"/>
          <w:sz w:val="24"/>
          <w:szCs w:val="24"/>
        </w:rPr>
      </w:pPr>
      <w:r>
        <w:rPr>
          <w:rFonts w:ascii="Arial" w:hAnsi="Arial" w:cs="Arial"/>
          <w:sz w:val="24"/>
          <w:szCs w:val="24"/>
        </w:rPr>
        <w:t>La violencia generada por conflictos como el colombiano, tienen un impacto directo sobre los individuos y, particularmente, sobre la sociedad en su conjunto. Los llamados “micro</w:t>
      </w:r>
      <w:r w:rsidR="00782C25">
        <w:rPr>
          <w:rFonts w:ascii="Arial" w:hAnsi="Arial" w:cs="Arial"/>
          <w:sz w:val="24"/>
          <w:szCs w:val="24"/>
        </w:rPr>
        <w:t xml:space="preserve"> </w:t>
      </w:r>
      <w:r>
        <w:rPr>
          <w:rFonts w:ascii="Arial" w:hAnsi="Arial" w:cs="Arial"/>
          <w:sz w:val="24"/>
          <w:szCs w:val="24"/>
        </w:rPr>
        <w:t>efectos” de la violencia no solo eliminan el tejido social que permite la sana interacción basada en el consenso, sino que destruyen la confianza que los individuos depositan sobre las instituciones (</w:t>
      </w:r>
      <w:r w:rsidR="00303427">
        <w:rPr>
          <w:rFonts w:ascii="Arial" w:hAnsi="Arial" w:cs="Arial"/>
          <w:sz w:val="24"/>
          <w:szCs w:val="24"/>
        </w:rPr>
        <w:t>Abello, Alexandra, 2006:</w:t>
      </w:r>
      <w:r w:rsidR="001570ED">
        <w:rPr>
          <w:rFonts w:ascii="Arial" w:hAnsi="Arial" w:cs="Arial"/>
          <w:sz w:val="24"/>
          <w:szCs w:val="24"/>
        </w:rPr>
        <w:t xml:space="preserve"> 310). </w:t>
      </w:r>
      <w:r w:rsidR="00303427">
        <w:rPr>
          <w:rFonts w:ascii="Arial" w:hAnsi="Arial" w:cs="Arial"/>
          <w:sz w:val="24"/>
          <w:szCs w:val="24"/>
        </w:rPr>
        <w:t xml:space="preserve">Es </w:t>
      </w:r>
      <w:r w:rsidR="001570ED">
        <w:rPr>
          <w:rFonts w:ascii="Arial" w:hAnsi="Arial" w:cs="Arial"/>
          <w:sz w:val="24"/>
          <w:szCs w:val="24"/>
        </w:rPr>
        <w:t xml:space="preserve">por ello </w:t>
      </w:r>
      <w:r w:rsidR="00303427">
        <w:rPr>
          <w:rFonts w:ascii="Arial" w:hAnsi="Arial" w:cs="Arial"/>
          <w:sz w:val="24"/>
          <w:szCs w:val="24"/>
        </w:rPr>
        <w:t xml:space="preserve">importante que en Colombia se empiece a legislar en materias del dominio cotidiano, como lo es el reconocimiento del derecho constitucional al Hábeas Data, con </w:t>
      </w:r>
      <w:r w:rsidR="001570ED">
        <w:rPr>
          <w:rFonts w:ascii="Arial" w:hAnsi="Arial" w:cs="Arial"/>
          <w:sz w:val="24"/>
          <w:szCs w:val="24"/>
        </w:rPr>
        <w:t>un enfoque que permita</w:t>
      </w:r>
      <w:r w:rsidR="00303427">
        <w:rPr>
          <w:rFonts w:ascii="Arial" w:hAnsi="Arial" w:cs="Arial"/>
          <w:sz w:val="24"/>
          <w:szCs w:val="24"/>
        </w:rPr>
        <w:t xml:space="preserve"> afrontar situaciones complejas propias de escenarios posteriores a la finalización nominal de un conflicto como el de nuestro país. La importancia de esto radica, precisamente, en el hecho de que el denominado posconflicto demandará la atención de problemáticas locales replicadas a gran escala </w:t>
      </w:r>
      <w:r w:rsidR="001570ED">
        <w:rPr>
          <w:rFonts w:ascii="Arial" w:hAnsi="Arial" w:cs="Arial"/>
          <w:sz w:val="24"/>
          <w:szCs w:val="24"/>
        </w:rPr>
        <w:t>a nivel de</w:t>
      </w:r>
      <w:r w:rsidR="00303427">
        <w:rPr>
          <w:rFonts w:ascii="Arial" w:hAnsi="Arial" w:cs="Arial"/>
          <w:sz w:val="24"/>
          <w:szCs w:val="24"/>
        </w:rPr>
        <w:t xml:space="preserve"> país. </w:t>
      </w:r>
      <w:r w:rsidR="00782C25">
        <w:rPr>
          <w:rFonts w:ascii="Arial" w:hAnsi="Arial" w:cs="Arial"/>
          <w:sz w:val="24"/>
          <w:szCs w:val="24"/>
        </w:rPr>
        <w:t>Una de éstas, por ejemplo, corresponde a la integración a los proceso</w:t>
      </w:r>
      <w:r w:rsidR="001570ED">
        <w:rPr>
          <w:rFonts w:ascii="Arial" w:hAnsi="Arial" w:cs="Arial"/>
          <w:sz w:val="24"/>
          <w:szCs w:val="24"/>
        </w:rPr>
        <w:t>s</w:t>
      </w:r>
      <w:r w:rsidR="00782C25">
        <w:rPr>
          <w:rFonts w:ascii="Arial" w:hAnsi="Arial" w:cs="Arial"/>
          <w:sz w:val="24"/>
          <w:szCs w:val="24"/>
        </w:rPr>
        <w:t xml:space="preserve"> de civilidad de los ex miembros de las fuerzas armadas ilegales involucradas en el conflicto. </w:t>
      </w:r>
    </w:p>
    <w:p w14:paraId="30E64878" w14:textId="292D725D" w:rsidR="001570ED" w:rsidRDefault="001570ED" w:rsidP="00946A17">
      <w:pPr>
        <w:jc w:val="both"/>
        <w:rPr>
          <w:rFonts w:ascii="Arial" w:hAnsi="Arial" w:cs="Arial"/>
          <w:sz w:val="24"/>
          <w:szCs w:val="24"/>
        </w:rPr>
      </w:pPr>
      <w:r>
        <w:rPr>
          <w:rFonts w:ascii="Arial" w:hAnsi="Arial" w:cs="Arial"/>
          <w:sz w:val="24"/>
          <w:szCs w:val="24"/>
        </w:rPr>
        <w:t>Así, e</w:t>
      </w:r>
      <w:r w:rsidR="00782C25">
        <w:rPr>
          <w:rFonts w:ascii="Arial" w:hAnsi="Arial" w:cs="Arial"/>
          <w:sz w:val="24"/>
          <w:szCs w:val="24"/>
        </w:rPr>
        <w:t xml:space="preserve">n el marco de un proceso de resocialización es de primera importancia para los individuos objeto de las medidas civilizatorias la concepción que acerca de ellos tenga el resto de la sociedad. En parte, esta construcción colectiva en torno a los sujetos que han cometido delitos está basada en la información de carácter personal que repose en las bases de datos gubernamentales y privadas sobre </w:t>
      </w:r>
      <w:r w:rsidR="0058774A">
        <w:rPr>
          <w:rFonts w:ascii="Arial" w:hAnsi="Arial" w:cs="Arial"/>
          <w:sz w:val="24"/>
          <w:szCs w:val="24"/>
        </w:rPr>
        <w:t>el</w:t>
      </w:r>
      <w:r w:rsidR="00782C25">
        <w:rPr>
          <w:rFonts w:ascii="Arial" w:hAnsi="Arial" w:cs="Arial"/>
          <w:sz w:val="24"/>
          <w:szCs w:val="24"/>
        </w:rPr>
        <w:t xml:space="preserve">los. La utilización inadecuada de esta información y la vulneración del derecho al Hábeas Data significaría en un escenario de posconflicto la posibilidad de fracasar en un esfuerzo de inclusión social de </w:t>
      </w:r>
      <w:r w:rsidR="0058774A">
        <w:rPr>
          <w:rFonts w:ascii="Arial" w:hAnsi="Arial" w:cs="Arial"/>
          <w:sz w:val="24"/>
          <w:szCs w:val="24"/>
        </w:rPr>
        <w:t xml:space="preserve">las víctimas y de </w:t>
      </w:r>
      <w:r w:rsidR="00782C25">
        <w:rPr>
          <w:rFonts w:ascii="Arial" w:hAnsi="Arial" w:cs="Arial"/>
          <w:sz w:val="24"/>
          <w:szCs w:val="24"/>
        </w:rPr>
        <w:t>aquellas personas que estuvieron vinculadas a actividades irregulares. Es por ello que la garantía del derecho constitucional consagrado en el artículo 15 de la Carta Política</w:t>
      </w:r>
      <w:r>
        <w:rPr>
          <w:rFonts w:ascii="Arial" w:hAnsi="Arial" w:cs="Arial"/>
          <w:sz w:val="24"/>
          <w:szCs w:val="24"/>
        </w:rPr>
        <w:t xml:space="preserve"> es ineludible como base para un posconflicto incluyente, democrático y próspero.</w:t>
      </w:r>
    </w:p>
    <w:p w14:paraId="23EA3C5D" w14:textId="270E72E7" w:rsidR="001570ED" w:rsidRDefault="001570ED" w:rsidP="00946A17">
      <w:pPr>
        <w:jc w:val="both"/>
        <w:rPr>
          <w:rFonts w:ascii="Arial" w:hAnsi="Arial" w:cs="Arial"/>
          <w:sz w:val="24"/>
          <w:szCs w:val="24"/>
        </w:rPr>
      </w:pPr>
      <w:r>
        <w:rPr>
          <w:rFonts w:ascii="Arial" w:hAnsi="Arial" w:cs="Arial"/>
          <w:sz w:val="24"/>
          <w:szCs w:val="24"/>
        </w:rPr>
        <w:t xml:space="preserve">En este orden de ideas, la importancia del Hábeas Data, particularmente el financiero, radica igualmente en los efectos económicos que implicaría la desmovilización masiva de integrantes de grupos armados ilegales. Como se </w:t>
      </w:r>
      <w:r>
        <w:rPr>
          <w:rFonts w:ascii="Arial" w:hAnsi="Arial" w:cs="Arial"/>
          <w:sz w:val="24"/>
          <w:szCs w:val="24"/>
        </w:rPr>
        <w:lastRenderedPageBreak/>
        <w:t>argumentó más arriba, la posibilidad que generó para un enorme segmento de colombianos la Ley 1266 de 2008 de tener vida financiera tras haber sido reportados en centrales de riesgo, fue la causa de un aumento progresivo de la demanda de productos financieros de primer orden, como tarjetas de crédito, microcrédito y cuentas de ahorro. El sistema financiero colombiano debe estar en la capacidad de asumir un eventual proceso de bancarización de víctimas del conflicto y de personas en situación de resocialización</w:t>
      </w:r>
      <w:r w:rsidR="0058774A">
        <w:rPr>
          <w:rFonts w:ascii="Arial" w:hAnsi="Arial" w:cs="Arial"/>
          <w:sz w:val="24"/>
          <w:szCs w:val="24"/>
        </w:rPr>
        <w:t>, con el fin de que estos puedan generar esquemas económicos de sostenibilidad y vida digna</w:t>
      </w:r>
      <w:r>
        <w:rPr>
          <w:rFonts w:ascii="Arial" w:hAnsi="Arial" w:cs="Arial"/>
          <w:sz w:val="24"/>
          <w:szCs w:val="24"/>
        </w:rPr>
        <w:t>. La Ley de Hábeas Data</w:t>
      </w:r>
      <w:r w:rsidR="003E6C48">
        <w:rPr>
          <w:rFonts w:ascii="Arial" w:hAnsi="Arial" w:cs="Arial"/>
          <w:sz w:val="24"/>
          <w:szCs w:val="24"/>
        </w:rPr>
        <w:t xml:space="preserve"> financiero</w:t>
      </w:r>
      <w:r>
        <w:rPr>
          <w:rFonts w:ascii="Arial" w:hAnsi="Arial" w:cs="Arial"/>
          <w:sz w:val="24"/>
          <w:szCs w:val="24"/>
        </w:rPr>
        <w:t>, con las modificaciones que aquí se presentan, es una herramienta indispensable para este fin.</w:t>
      </w:r>
    </w:p>
    <w:p w14:paraId="1E41C7DB" w14:textId="08D29B15" w:rsidR="007A6EBC" w:rsidRDefault="007A6EBC" w:rsidP="007A6EBC">
      <w:pPr>
        <w:jc w:val="both"/>
        <w:rPr>
          <w:rFonts w:ascii="Arial" w:hAnsi="Arial" w:cs="Arial"/>
          <w:b/>
          <w:sz w:val="24"/>
          <w:szCs w:val="24"/>
        </w:rPr>
      </w:pPr>
      <w:r w:rsidRPr="007A6EBC">
        <w:rPr>
          <w:rFonts w:ascii="Arial" w:hAnsi="Arial" w:cs="Arial"/>
          <w:b/>
          <w:sz w:val="24"/>
          <w:szCs w:val="24"/>
        </w:rPr>
        <w:t xml:space="preserve">Propuesta del Proyecto de Ley </w:t>
      </w:r>
      <w:r w:rsidR="0021326E">
        <w:rPr>
          <w:rFonts w:ascii="Arial" w:hAnsi="Arial" w:cs="Arial"/>
          <w:b/>
          <w:sz w:val="24"/>
          <w:szCs w:val="24"/>
        </w:rPr>
        <w:t xml:space="preserve">Estatutaria </w:t>
      </w:r>
      <w:r w:rsidRPr="007A6EBC">
        <w:rPr>
          <w:rFonts w:ascii="Arial" w:hAnsi="Arial" w:cs="Arial"/>
          <w:b/>
          <w:sz w:val="24"/>
          <w:szCs w:val="24"/>
        </w:rPr>
        <w:t>de adición y modificación</w:t>
      </w:r>
    </w:p>
    <w:p w14:paraId="037D7014" w14:textId="2671421E" w:rsidR="00F22C66" w:rsidRPr="00F22C66" w:rsidRDefault="00F22C66" w:rsidP="007A6EBC">
      <w:pPr>
        <w:jc w:val="both"/>
        <w:rPr>
          <w:rFonts w:ascii="Arial" w:hAnsi="Arial" w:cs="Arial"/>
          <w:sz w:val="24"/>
          <w:szCs w:val="24"/>
        </w:rPr>
      </w:pPr>
      <w:r>
        <w:rPr>
          <w:rFonts w:ascii="Arial" w:hAnsi="Arial" w:cs="Arial"/>
          <w:sz w:val="24"/>
          <w:szCs w:val="24"/>
        </w:rPr>
        <w:t xml:space="preserve">A pesar de </w:t>
      </w:r>
      <w:r w:rsidR="003E6C48">
        <w:rPr>
          <w:rFonts w:ascii="Arial" w:hAnsi="Arial" w:cs="Arial"/>
          <w:sz w:val="24"/>
          <w:szCs w:val="24"/>
        </w:rPr>
        <w:t>los argumentos a favor de la Ley 1266 de 2008,</w:t>
      </w:r>
      <w:r w:rsidR="00BF6508">
        <w:rPr>
          <w:rFonts w:ascii="Arial" w:hAnsi="Arial" w:cs="Arial"/>
          <w:sz w:val="24"/>
          <w:szCs w:val="24"/>
        </w:rPr>
        <w:t xml:space="preserve"> </w:t>
      </w:r>
      <w:r w:rsidR="003E6C48">
        <w:rPr>
          <w:rFonts w:ascii="Arial" w:hAnsi="Arial" w:cs="Arial"/>
          <w:sz w:val="24"/>
          <w:szCs w:val="24"/>
        </w:rPr>
        <w:t xml:space="preserve">el </w:t>
      </w:r>
      <w:r w:rsidR="00BF6508">
        <w:rPr>
          <w:rFonts w:ascii="Arial" w:hAnsi="Arial" w:cs="Arial"/>
          <w:sz w:val="24"/>
          <w:szCs w:val="24"/>
        </w:rPr>
        <w:t>estado actual del derecho al há</w:t>
      </w:r>
      <w:r>
        <w:rPr>
          <w:rFonts w:ascii="Arial" w:hAnsi="Arial" w:cs="Arial"/>
          <w:sz w:val="24"/>
          <w:szCs w:val="24"/>
        </w:rPr>
        <w:t xml:space="preserve">beas Data en Colombia, particularmente el que se ejerce en torno al dato financiero personal, demanda una profundización de las </w:t>
      </w:r>
      <w:r w:rsidR="003E6C48">
        <w:rPr>
          <w:rFonts w:ascii="Arial" w:hAnsi="Arial" w:cs="Arial"/>
          <w:sz w:val="24"/>
          <w:szCs w:val="24"/>
        </w:rPr>
        <w:t>condiciones garantes debido a situaciones de vulnerabilidad para los titulares de la información que reposa en bases de datos y que han surgido desde la expedición de la Ley.</w:t>
      </w:r>
      <w:r>
        <w:rPr>
          <w:rFonts w:ascii="Arial" w:hAnsi="Arial" w:cs="Arial"/>
          <w:sz w:val="24"/>
          <w:szCs w:val="24"/>
        </w:rPr>
        <w:t xml:space="preserve"> El Proyecto de Ley que se presenta a la Comisión Primera de la Honorable Cámara de Representantes, pretende </w:t>
      </w:r>
      <w:r w:rsidR="00AB24F3">
        <w:rPr>
          <w:rFonts w:ascii="Arial" w:hAnsi="Arial" w:cs="Arial"/>
          <w:sz w:val="24"/>
          <w:szCs w:val="24"/>
        </w:rPr>
        <w:t>avanzar en torno a</w:t>
      </w:r>
      <w:r w:rsidR="00037B41">
        <w:rPr>
          <w:rFonts w:ascii="Arial" w:hAnsi="Arial" w:cs="Arial"/>
          <w:sz w:val="24"/>
          <w:szCs w:val="24"/>
        </w:rPr>
        <w:t xml:space="preserve"> ese fin.</w:t>
      </w:r>
      <w:r w:rsidR="00AB24F3">
        <w:rPr>
          <w:rFonts w:ascii="Arial" w:hAnsi="Arial" w:cs="Arial"/>
          <w:sz w:val="24"/>
          <w:szCs w:val="24"/>
        </w:rPr>
        <w:t xml:space="preserve"> </w:t>
      </w:r>
      <w:r w:rsidR="00E61A14">
        <w:rPr>
          <w:rFonts w:ascii="Arial" w:hAnsi="Arial" w:cs="Arial"/>
          <w:sz w:val="24"/>
          <w:szCs w:val="24"/>
        </w:rPr>
        <w:t>A continuación, se presenta un res</w:t>
      </w:r>
      <w:r w:rsidR="003E6C48">
        <w:rPr>
          <w:rFonts w:ascii="Arial" w:hAnsi="Arial" w:cs="Arial"/>
          <w:sz w:val="24"/>
          <w:szCs w:val="24"/>
        </w:rPr>
        <w:t>umen de las principales modificaciones propuestas a la Ley</w:t>
      </w:r>
    </w:p>
    <w:p w14:paraId="1F56ABBF" w14:textId="20129E59" w:rsidR="007A6EBC" w:rsidRPr="007A6EBC" w:rsidRDefault="007A6EBC" w:rsidP="007A6EBC">
      <w:pPr>
        <w:jc w:val="both"/>
        <w:rPr>
          <w:rFonts w:ascii="Arial" w:hAnsi="Arial" w:cs="Arial"/>
          <w:sz w:val="24"/>
          <w:szCs w:val="24"/>
        </w:rPr>
      </w:pPr>
      <w:r w:rsidRPr="00E61A14">
        <w:rPr>
          <w:rFonts w:ascii="Arial" w:hAnsi="Arial" w:cs="Arial"/>
          <w:b/>
          <w:sz w:val="24"/>
          <w:szCs w:val="24"/>
        </w:rPr>
        <w:t>A.</w:t>
      </w:r>
      <w:r w:rsidRPr="007A6EBC">
        <w:rPr>
          <w:rFonts w:ascii="Arial" w:hAnsi="Arial" w:cs="Arial"/>
          <w:sz w:val="24"/>
          <w:szCs w:val="24"/>
        </w:rPr>
        <w:t xml:space="preserve">   El tiempo de permanencia del reporte negativo en las Centrales de</w:t>
      </w:r>
      <w:r w:rsidR="00037B41">
        <w:rPr>
          <w:rFonts w:ascii="Arial" w:hAnsi="Arial" w:cs="Arial"/>
          <w:sz w:val="24"/>
          <w:szCs w:val="24"/>
        </w:rPr>
        <w:t xml:space="preserve"> Riesgo como (Datacrédito, Cifin,</w:t>
      </w:r>
      <w:r w:rsidRPr="007A6EBC">
        <w:rPr>
          <w:rFonts w:ascii="Arial" w:hAnsi="Arial" w:cs="Arial"/>
          <w:sz w:val="24"/>
          <w:szCs w:val="24"/>
        </w:rPr>
        <w:t xml:space="preserve"> entre otras) corresponderá al mismo tiempo de la mora, máximo dos (2) años. </w:t>
      </w:r>
      <w:r w:rsidR="00504F79">
        <w:rPr>
          <w:rFonts w:ascii="Arial" w:hAnsi="Arial" w:cs="Arial"/>
          <w:sz w:val="24"/>
          <w:szCs w:val="24"/>
        </w:rPr>
        <w:t>Hoy es de</w:t>
      </w:r>
      <w:r w:rsidR="00464223">
        <w:rPr>
          <w:rFonts w:ascii="Arial" w:hAnsi="Arial" w:cs="Arial"/>
          <w:sz w:val="24"/>
          <w:szCs w:val="24"/>
        </w:rPr>
        <w:t>l doble de tiempo de mora máximo</w:t>
      </w:r>
      <w:r w:rsidR="00031D31">
        <w:rPr>
          <w:rFonts w:ascii="Arial" w:hAnsi="Arial" w:cs="Arial"/>
          <w:sz w:val="24"/>
          <w:szCs w:val="24"/>
        </w:rPr>
        <w:t xml:space="preserve"> </w:t>
      </w:r>
      <w:r w:rsidR="00464223">
        <w:rPr>
          <w:rFonts w:ascii="Arial" w:hAnsi="Arial" w:cs="Arial"/>
          <w:sz w:val="24"/>
          <w:szCs w:val="24"/>
        </w:rPr>
        <w:t>cuatro (4) años.</w:t>
      </w:r>
    </w:p>
    <w:p w14:paraId="5B07857E" w14:textId="1C911D1D" w:rsidR="007A6EBC" w:rsidRPr="007A6EBC" w:rsidRDefault="007A6EBC" w:rsidP="007A6EBC">
      <w:pPr>
        <w:jc w:val="both"/>
        <w:rPr>
          <w:rFonts w:ascii="Arial" w:hAnsi="Arial" w:cs="Arial"/>
          <w:sz w:val="24"/>
          <w:szCs w:val="24"/>
        </w:rPr>
      </w:pPr>
      <w:r w:rsidRPr="00E61A14">
        <w:rPr>
          <w:rFonts w:ascii="Arial" w:hAnsi="Arial" w:cs="Arial"/>
          <w:b/>
          <w:sz w:val="24"/>
          <w:szCs w:val="24"/>
        </w:rPr>
        <w:t>B.</w:t>
      </w:r>
      <w:r w:rsidRPr="007A6EBC">
        <w:rPr>
          <w:rFonts w:ascii="Arial" w:hAnsi="Arial" w:cs="Arial"/>
          <w:sz w:val="24"/>
          <w:szCs w:val="24"/>
        </w:rPr>
        <w:t xml:space="preserve">   El tiempo que durará el reporte negativo en las Centrales de Riesgo como (Datacrédit</w:t>
      </w:r>
      <w:r w:rsidR="00037B41">
        <w:rPr>
          <w:rFonts w:ascii="Arial" w:hAnsi="Arial" w:cs="Arial"/>
          <w:sz w:val="24"/>
          <w:szCs w:val="24"/>
        </w:rPr>
        <w:t xml:space="preserve">o, Cifin entre otras), </w:t>
      </w:r>
      <w:r w:rsidR="00037B41" w:rsidRPr="00504F79">
        <w:rPr>
          <w:rFonts w:ascii="Arial" w:hAnsi="Arial" w:cs="Arial"/>
          <w:b/>
          <w:sz w:val="24"/>
          <w:szCs w:val="24"/>
        </w:rPr>
        <w:t>cuando no</w:t>
      </w:r>
      <w:r w:rsidRPr="00504F79">
        <w:rPr>
          <w:rFonts w:ascii="Arial" w:hAnsi="Arial" w:cs="Arial"/>
          <w:b/>
          <w:sz w:val="24"/>
          <w:szCs w:val="24"/>
        </w:rPr>
        <w:t xml:space="preserve"> se ha pagado la deuda</w:t>
      </w:r>
      <w:r w:rsidRPr="007A6EBC">
        <w:rPr>
          <w:rFonts w:ascii="Arial" w:hAnsi="Arial" w:cs="Arial"/>
          <w:sz w:val="24"/>
          <w:szCs w:val="24"/>
        </w:rPr>
        <w:t>, será máximo de (5) años.</w:t>
      </w:r>
    </w:p>
    <w:p w14:paraId="4A991B13" w14:textId="77777777" w:rsidR="007A6EBC" w:rsidRPr="007A6EBC" w:rsidRDefault="007A6EBC" w:rsidP="007A6EBC">
      <w:pPr>
        <w:jc w:val="both"/>
        <w:rPr>
          <w:rFonts w:ascii="Arial" w:hAnsi="Arial" w:cs="Arial"/>
          <w:sz w:val="24"/>
          <w:szCs w:val="24"/>
        </w:rPr>
      </w:pPr>
      <w:r w:rsidRPr="00E61A14">
        <w:rPr>
          <w:rFonts w:ascii="Arial" w:hAnsi="Arial" w:cs="Arial"/>
          <w:b/>
          <w:sz w:val="24"/>
          <w:szCs w:val="24"/>
        </w:rPr>
        <w:t>C.</w:t>
      </w:r>
      <w:r w:rsidRPr="007A6EBC">
        <w:rPr>
          <w:rFonts w:ascii="Arial" w:hAnsi="Arial" w:cs="Arial"/>
          <w:sz w:val="24"/>
          <w:szCs w:val="24"/>
        </w:rPr>
        <w:t xml:space="preserve">   Cuando el reporte negativo sea por suma de hasta un (1) salario mínimo legal mensual vigente, con el pago se eliminará de inmediato el reporte negativo.</w:t>
      </w:r>
    </w:p>
    <w:p w14:paraId="6EB07BBF" w14:textId="081131F8" w:rsidR="007A6EBC" w:rsidRPr="007A6EBC" w:rsidRDefault="007A6EBC" w:rsidP="007A6EBC">
      <w:pPr>
        <w:jc w:val="both"/>
        <w:rPr>
          <w:rFonts w:ascii="Arial" w:hAnsi="Arial" w:cs="Arial"/>
          <w:sz w:val="24"/>
          <w:szCs w:val="24"/>
        </w:rPr>
      </w:pPr>
      <w:r w:rsidRPr="00E61A14">
        <w:rPr>
          <w:rFonts w:ascii="Arial" w:hAnsi="Arial" w:cs="Arial"/>
          <w:b/>
          <w:sz w:val="24"/>
          <w:szCs w:val="24"/>
        </w:rPr>
        <w:lastRenderedPageBreak/>
        <w:t>D.</w:t>
      </w:r>
      <w:r w:rsidRPr="007A6EBC">
        <w:rPr>
          <w:rFonts w:ascii="Arial" w:hAnsi="Arial" w:cs="Arial"/>
          <w:sz w:val="24"/>
          <w:szCs w:val="24"/>
        </w:rPr>
        <w:t xml:space="preserve">   Cuando una persona está en mora, su califi</w:t>
      </w:r>
      <w:r w:rsidR="00916204">
        <w:rPr>
          <w:rFonts w:ascii="Arial" w:hAnsi="Arial" w:cs="Arial"/>
          <w:sz w:val="24"/>
          <w:szCs w:val="24"/>
        </w:rPr>
        <w:t xml:space="preserve">cación disminuye y aunque pague, </w:t>
      </w:r>
      <w:r w:rsidRPr="007A6EBC">
        <w:rPr>
          <w:rFonts w:ascii="Arial" w:hAnsi="Arial" w:cs="Arial"/>
          <w:sz w:val="24"/>
          <w:szCs w:val="24"/>
        </w:rPr>
        <w:t>esta calificación no sube; con esta Ley, al retirarse el reporte negativo la calificación tendrá que normalizarse de inmediato.</w:t>
      </w:r>
    </w:p>
    <w:p w14:paraId="0388320C" w14:textId="7D1A19F9" w:rsidR="007A6EBC" w:rsidRPr="007A6EBC" w:rsidRDefault="007A6EBC" w:rsidP="007A6EBC">
      <w:pPr>
        <w:jc w:val="both"/>
        <w:rPr>
          <w:rFonts w:ascii="Arial" w:hAnsi="Arial" w:cs="Arial"/>
          <w:sz w:val="24"/>
          <w:szCs w:val="24"/>
        </w:rPr>
      </w:pPr>
      <w:r w:rsidRPr="00E61A14">
        <w:rPr>
          <w:rFonts w:ascii="Arial" w:hAnsi="Arial" w:cs="Arial"/>
          <w:b/>
          <w:sz w:val="24"/>
          <w:szCs w:val="24"/>
        </w:rPr>
        <w:t>E.</w:t>
      </w:r>
      <w:r w:rsidRPr="007A6EBC">
        <w:rPr>
          <w:rFonts w:ascii="Arial" w:hAnsi="Arial" w:cs="Arial"/>
          <w:sz w:val="24"/>
          <w:szCs w:val="24"/>
        </w:rPr>
        <w:t xml:space="preserve">   El tiempo para reportar a una persona luego de entrar en mora en sus deudas, será de máximo dos (2) años.</w:t>
      </w:r>
      <w:r w:rsidR="00504F79">
        <w:rPr>
          <w:rFonts w:ascii="Arial" w:hAnsi="Arial" w:cs="Arial"/>
          <w:sz w:val="24"/>
          <w:szCs w:val="24"/>
        </w:rPr>
        <w:t xml:space="preserve"> </w:t>
      </w:r>
    </w:p>
    <w:p w14:paraId="1AF499F4" w14:textId="77777777" w:rsidR="007A6EBC" w:rsidRPr="007A6EBC" w:rsidRDefault="007A6EBC" w:rsidP="007A6EBC">
      <w:pPr>
        <w:jc w:val="both"/>
        <w:rPr>
          <w:rFonts w:ascii="Arial" w:hAnsi="Arial" w:cs="Arial"/>
          <w:sz w:val="24"/>
          <w:szCs w:val="24"/>
        </w:rPr>
      </w:pPr>
      <w:r w:rsidRPr="00E61A14">
        <w:rPr>
          <w:rFonts w:ascii="Arial" w:hAnsi="Arial" w:cs="Arial"/>
          <w:b/>
          <w:sz w:val="24"/>
          <w:szCs w:val="24"/>
        </w:rPr>
        <w:t>F.</w:t>
      </w:r>
      <w:r w:rsidRPr="007A6EBC">
        <w:rPr>
          <w:rFonts w:ascii="Arial" w:hAnsi="Arial" w:cs="Arial"/>
          <w:sz w:val="24"/>
          <w:szCs w:val="24"/>
        </w:rPr>
        <w:t xml:space="preserve">    Consultar la información crediticia de los ciudadanos sin importar las veces que se haga, no bajará la calificación financiera.</w:t>
      </w:r>
    </w:p>
    <w:p w14:paraId="34C2E3D5" w14:textId="77777777" w:rsidR="007A6EBC" w:rsidRPr="007A6EBC" w:rsidRDefault="007A6EBC" w:rsidP="007A6EBC">
      <w:pPr>
        <w:jc w:val="both"/>
        <w:rPr>
          <w:rFonts w:ascii="Arial" w:hAnsi="Arial" w:cs="Arial"/>
          <w:sz w:val="24"/>
          <w:szCs w:val="24"/>
        </w:rPr>
      </w:pPr>
      <w:r w:rsidRPr="00E61A14">
        <w:rPr>
          <w:rFonts w:ascii="Arial" w:hAnsi="Arial" w:cs="Arial"/>
          <w:b/>
          <w:sz w:val="24"/>
          <w:szCs w:val="24"/>
        </w:rPr>
        <w:t>G.</w:t>
      </w:r>
      <w:r w:rsidRPr="007A6EBC">
        <w:rPr>
          <w:rFonts w:ascii="Arial" w:hAnsi="Arial" w:cs="Arial"/>
          <w:sz w:val="24"/>
          <w:szCs w:val="24"/>
        </w:rPr>
        <w:t xml:space="preserve">   No cumplir con la notificación veinte (20) días antes de reportar al deudor, será causal para el retiro del reporte negativo.</w:t>
      </w:r>
    </w:p>
    <w:p w14:paraId="33AB3314" w14:textId="2CAB31F7" w:rsidR="007A6EBC" w:rsidRPr="007A6EBC" w:rsidRDefault="007A6EBC" w:rsidP="007A6EBC">
      <w:pPr>
        <w:jc w:val="both"/>
        <w:rPr>
          <w:rFonts w:ascii="Arial" w:hAnsi="Arial" w:cs="Arial"/>
          <w:sz w:val="24"/>
          <w:szCs w:val="24"/>
        </w:rPr>
      </w:pPr>
      <w:r w:rsidRPr="00E61A14">
        <w:rPr>
          <w:rFonts w:ascii="Arial" w:hAnsi="Arial" w:cs="Arial"/>
          <w:b/>
          <w:sz w:val="24"/>
          <w:szCs w:val="24"/>
        </w:rPr>
        <w:t>H.</w:t>
      </w:r>
      <w:r w:rsidRPr="007A6EBC">
        <w:rPr>
          <w:rFonts w:ascii="Arial" w:hAnsi="Arial" w:cs="Arial"/>
          <w:sz w:val="24"/>
          <w:szCs w:val="24"/>
        </w:rPr>
        <w:t xml:space="preserve">  Las victimas de “suplantación personal”, mediante solicitud podrán exigir que se elimine el dato negativo injusto</w:t>
      </w:r>
      <w:r w:rsidR="0029016A">
        <w:rPr>
          <w:rFonts w:ascii="Arial" w:hAnsi="Arial" w:cs="Arial"/>
          <w:sz w:val="24"/>
          <w:szCs w:val="24"/>
        </w:rPr>
        <w:t xml:space="preserve"> y se restablezca su calificación y/o scoring</w:t>
      </w:r>
      <w:r w:rsidRPr="007A6EBC">
        <w:rPr>
          <w:rFonts w:ascii="Arial" w:hAnsi="Arial" w:cs="Arial"/>
          <w:sz w:val="24"/>
          <w:szCs w:val="24"/>
        </w:rPr>
        <w:t>.</w:t>
      </w:r>
    </w:p>
    <w:p w14:paraId="49D351CB" w14:textId="1EE26A3A" w:rsidR="007A6EBC" w:rsidRPr="007A6EBC" w:rsidRDefault="007A6EBC" w:rsidP="007A6EBC">
      <w:pPr>
        <w:jc w:val="both"/>
        <w:rPr>
          <w:rFonts w:ascii="Arial" w:hAnsi="Arial" w:cs="Arial"/>
          <w:sz w:val="24"/>
          <w:szCs w:val="24"/>
        </w:rPr>
      </w:pPr>
      <w:r w:rsidRPr="00E61A14">
        <w:rPr>
          <w:rFonts w:ascii="Arial" w:hAnsi="Arial" w:cs="Arial"/>
          <w:b/>
          <w:sz w:val="24"/>
          <w:szCs w:val="24"/>
        </w:rPr>
        <w:t>I.</w:t>
      </w:r>
      <w:r w:rsidRPr="007A6EBC">
        <w:rPr>
          <w:rFonts w:ascii="Arial" w:hAnsi="Arial" w:cs="Arial"/>
          <w:sz w:val="24"/>
          <w:szCs w:val="24"/>
        </w:rPr>
        <w:t xml:space="preserve">   Se esta</w:t>
      </w:r>
      <w:r w:rsidR="0029016A">
        <w:rPr>
          <w:rFonts w:ascii="Arial" w:hAnsi="Arial" w:cs="Arial"/>
          <w:sz w:val="24"/>
          <w:szCs w:val="24"/>
        </w:rPr>
        <w:t>blece un nuevo periodo de transición</w:t>
      </w:r>
      <w:r w:rsidRPr="007A6EBC">
        <w:rPr>
          <w:rFonts w:ascii="Arial" w:hAnsi="Arial" w:cs="Arial"/>
          <w:sz w:val="24"/>
          <w:szCs w:val="24"/>
        </w:rPr>
        <w:t xml:space="preserve"> en donde los ciudadanos recibirán beneficios por pagar sus deudas atrasadas de esta forma:</w:t>
      </w:r>
    </w:p>
    <w:p w14:paraId="66FB3468" w14:textId="77777777" w:rsidR="007A6EBC" w:rsidRDefault="007A6EBC" w:rsidP="007A6EBC">
      <w:pPr>
        <w:pStyle w:val="Prrafodelista"/>
        <w:numPr>
          <w:ilvl w:val="0"/>
          <w:numId w:val="2"/>
        </w:numPr>
        <w:jc w:val="both"/>
        <w:rPr>
          <w:rFonts w:ascii="Arial" w:hAnsi="Arial" w:cs="Arial"/>
          <w:sz w:val="24"/>
          <w:szCs w:val="24"/>
        </w:rPr>
      </w:pPr>
      <w:r w:rsidRPr="007A6EBC">
        <w:rPr>
          <w:rFonts w:ascii="Arial" w:hAnsi="Arial" w:cs="Arial"/>
          <w:sz w:val="24"/>
          <w:szCs w:val="24"/>
        </w:rPr>
        <w:t>Quien para la entrada en vigencia de la Ley, esté al día en el pago de sus obligaciones y lleve reportado como mínimo seis (6) meses, el reporte negativo le será borrado de inmediato.</w:t>
      </w:r>
    </w:p>
    <w:p w14:paraId="1A4B8E0F" w14:textId="77777777" w:rsidR="007A6EBC" w:rsidRDefault="007A6EBC" w:rsidP="007A6EBC">
      <w:pPr>
        <w:pStyle w:val="Prrafodelista"/>
        <w:numPr>
          <w:ilvl w:val="0"/>
          <w:numId w:val="2"/>
        </w:numPr>
        <w:jc w:val="both"/>
        <w:rPr>
          <w:rFonts w:ascii="Arial" w:hAnsi="Arial" w:cs="Arial"/>
          <w:sz w:val="24"/>
          <w:szCs w:val="24"/>
        </w:rPr>
      </w:pPr>
      <w:r w:rsidRPr="007A6EBC">
        <w:rPr>
          <w:rFonts w:ascii="Arial" w:hAnsi="Arial" w:cs="Arial"/>
          <w:sz w:val="24"/>
          <w:szCs w:val="24"/>
        </w:rPr>
        <w:t>Quien para la entrada en vigencia de la Ley, esté al día en el pago de sus obligaciones, pero ha estado reportado menos de seis (6) meses, entonces el reporte permanecerá por el tiempo que haga falta para cumplir seis (6) meses.</w:t>
      </w:r>
    </w:p>
    <w:p w14:paraId="188DA62E" w14:textId="77777777" w:rsidR="007A6EBC" w:rsidRDefault="007A6EBC" w:rsidP="007A6EBC">
      <w:pPr>
        <w:pStyle w:val="Prrafodelista"/>
        <w:numPr>
          <w:ilvl w:val="0"/>
          <w:numId w:val="2"/>
        </w:numPr>
        <w:jc w:val="both"/>
        <w:rPr>
          <w:rFonts w:ascii="Arial" w:hAnsi="Arial" w:cs="Arial"/>
          <w:sz w:val="24"/>
          <w:szCs w:val="24"/>
        </w:rPr>
      </w:pPr>
      <w:r w:rsidRPr="007A6EBC">
        <w:rPr>
          <w:rFonts w:ascii="Arial" w:hAnsi="Arial" w:cs="Arial"/>
          <w:sz w:val="24"/>
          <w:szCs w:val="24"/>
        </w:rPr>
        <w:t>En los casos en que la mora no supere seis (6) meses, el dato negativo permanecerá por el mismo tiempo de mora contado a partir de la extinción de las obligaciones.</w:t>
      </w:r>
    </w:p>
    <w:p w14:paraId="4052050D" w14:textId="12612D5C" w:rsidR="007A6EBC" w:rsidRDefault="007A6EBC" w:rsidP="007A6EBC">
      <w:pPr>
        <w:pStyle w:val="Prrafodelista"/>
        <w:numPr>
          <w:ilvl w:val="0"/>
          <w:numId w:val="2"/>
        </w:numPr>
        <w:jc w:val="both"/>
        <w:rPr>
          <w:rFonts w:ascii="Arial" w:hAnsi="Arial" w:cs="Arial"/>
          <w:sz w:val="24"/>
          <w:szCs w:val="24"/>
        </w:rPr>
      </w:pPr>
      <w:r w:rsidRPr="007A6EBC">
        <w:rPr>
          <w:rFonts w:ascii="Arial" w:hAnsi="Arial" w:cs="Arial"/>
          <w:sz w:val="24"/>
          <w:szCs w:val="24"/>
        </w:rPr>
        <w:t xml:space="preserve">Quien cancele sus obligaciones dentro de los seis (6) meses siguientes a la entrada en vigencia de la Ley, el reporte negativo permanecerá máximo por </w:t>
      </w:r>
      <w:r w:rsidRPr="007A6EBC">
        <w:rPr>
          <w:rFonts w:ascii="Arial" w:hAnsi="Arial" w:cs="Arial"/>
          <w:sz w:val="24"/>
          <w:szCs w:val="24"/>
        </w:rPr>
        <w:lastRenderedPageBreak/>
        <w:t>seis (6) meses más, desde de la fecha en que cancele. Cumplido este plazo, el dato negativo debe ser retirado.</w:t>
      </w:r>
      <w:r w:rsidR="00916204">
        <w:rPr>
          <w:rStyle w:val="Refdenotaalpie"/>
          <w:rFonts w:ascii="Arial" w:hAnsi="Arial" w:cs="Arial"/>
          <w:sz w:val="24"/>
          <w:szCs w:val="24"/>
        </w:rPr>
        <w:footnoteReference w:id="1"/>
      </w:r>
    </w:p>
    <w:p w14:paraId="5DC568A2" w14:textId="7238A84E" w:rsidR="00916204" w:rsidRDefault="00916204" w:rsidP="00916204">
      <w:pPr>
        <w:jc w:val="both"/>
        <w:rPr>
          <w:rFonts w:ascii="Arial" w:hAnsi="Arial" w:cs="Arial"/>
          <w:b/>
          <w:sz w:val="24"/>
          <w:szCs w:val="24"/>
        </w:rPr>
      </w:pPr>
      <w:r>
        <w:rPr>
          <w:rFonts w:ascii="Arial" w:hAnsi="Arial" w:cs="Arial"/>
          <w:b/>
          <w:sz w:val="24"/>
          <w:szCs w:val="24"/>
        </w:rPr>
        <w:t>Bibliografía</w:t>
      </w:r>
    </w:p>
    <w:p w14:paraId="25AA136A" w14:textId="77777777" w:rsidR="00504F79" w:rsidRPr="00946A17" w:rsidRDefault="00504F79" w:rsidP="00C5201D">
      <w:pPr>
        <w:pStyle w:val="Prrafodelista"/>
        <w:numPr>
          <w:ilvl w:val="0"/>
          <w:numId w:val="4"/>
        </w:numPr>
        <w:autoSpaceDE w:val="0"/>
        <w:autoSpaceDN w:val="0"/>
        <w:adjustRightInd w:val="0"/>
        <w:spacing w:after="0" w:line="240" w:lineRule="auto"/>
        <w:jc w:val="both"/>
        <w:rPr>
          <w:rFonts w:ascii="Arial" w:hAnsi="Arial" w:cs="Arial"/>
          <w:sz w:val="24"/>
          <w:szCs w:val="24"/>
        </w:rPr>
      </w:pPr>
      <w:r w:rsidRPr="00504F79">
        <w:rPr>
          <w:rFonts w:ascii="Arial" w:hAnsi="Arial" w:cs="Arial"/>
          <w:b/>
          <w:sz w:val="24"/>
          <w:szCs w:val="24"/>
        </w:rPr>
        <w:t>Abello, Alexandra,</w:t>
      </w:r>
      <w:r>
        <w:rPr>
          <w:rFonts w:ascii="Arial" w:hAnsi="Arial" w:cs="Arial"/>
          <w:sz w:val="24"/>
          <w:szCs w:val="24"/>
        </w:rPr>
        <w:t xml:space="preserve"> (2006) </w:t>
      </w:r>
      <w:r w:rsidRPr="00504F79">
        <w:rPr>
          <w:rFonts w:ascii="Arial" w:hAnsi="Arial" w:cs="Arial"/>
          <w:i/>
          <w:sz w:val="24"/>
          <w:szCs w:val="24"/>
        </w:rPr>
        <w:t xml:space="preserve">Aproximaciones a procesos comprehensivos de reconciliación en </w:t>
      </w:r>
      <w:r>
        <w:rPr>
          <w:rFonts w:ascii="Arial" w:hAnsi="Arial" w:cs="Arial"/>
          <w:i/>
          <w:sz w:val="24"/>
          <w:szCs w:val="24"/>
        </w:rPr>
        <w:t>contextos de posconflicto</w:t>
      </w:r>
      <w:r>
        <w:rPr>
          <w:rFonts w:ascii="Arial" w:hAnsi="Arial" w:cs="Arial"/>
          <w:sz w:val="24"/>
          <w:szCs w:val="24"/>
        </w:rPr>
        <w:t>. En: Umbrales de reconciliación, perspectivas de acción política noviolenta. CEPI. Bogotá: Universidad del Rosario.</w:t>
      </w:r>
    </w:p>
    <w:p w14:paraId="08B79F9B" w14:textId="77777777" w:rsidR="00504F79" w:rsidRPr="00946A17" w:rsidRDefault="00504F79" w:rsidP="00E802DD">
      <w:pPr>
        <w:pStyle w:val="Prrafodelista"/>
        <w:numPr>
          <w:ilvl w:val="0"/>
          <w:numId w:val="4"/>
        </w:numPr>
        <w:spacing w:after="0"/>
        <w:jc w:val="both"/>
        <w:rPr>
          <w:rFonts w:ascii="Arial" w:hAnsi="Arial" w:cs="Arial"/>
          <w:sz w:val="24"/>
          <w:szCs w:val="24"/>
        </w:rPr>
      </w:pPr>
      <w:r w:rsidRPr="00037B41">
        <w:rPr>
          <w:rFonts w:ascii="Arial" w:hAnsi="Arial" w:cs="Arial"/>
          <w:b/>
          <w:sz w:val="24"/>
          <w:szCs w:val="24"/>
          <w:shd w:val="clear" w:color="auto" w:fill="FFFFFF"/>
        </w:rPr>
        <w:t>Asociación Bancaria y de Entidades Financieras De Colombia.</w:t>
      </w:r>
      <w:r w:rsidRPr="00037B41">
        <w:rPr>
          <w:rFonts w:ascii="Arial" w:hAnsi="Arial" w:cs="Arial"/>
          <w:sz w:val="24"/>
          <w:szCs w:val="24"/>
          <w:shd w:val="clear" w:color="auto" w:fill="FFFFFF"/>
        </w:rPr>
        <w:t xml:space="preserve"> </w:t>
      </w:r>
      <w:r w:rsidRPr="00946A17">
        <w:rPr>
          <w:rFonts w:ascii="Arial" w:hAnsi="Arial" w:cs="Arial"/>
          <w:color w:val="545454"/>
          <w:sz w:val="24"/>
          <w:szCs w:val="24"/>
          <w:shd w:val="clear" w:color="auto" w:fill="FFFFFF"/>
        </w:rPr>
        <w:t xml:space="preserve">(2006). Reporte de bancarización. Recuperado de </w:t>
      </w:r>
      <w:hyperlink r:id="rId14" w:history="1">
        <w:r w:rsidRPr="00946A17">
          <w:rPr>
            <w:rStyle w:val="Hipervnculo"/>
            <w:rFonts w:ascii="Arial" w:hAnsi="Arial" w:cs="Arial"/>
            <w:sz w:val="24"/>
            <w:szCs w:val="24"/>
            <w:shd w:val="clear" w:color="auto" w:fill="FFFFFF"/>
          </w:rPr>
          <w:t>http://www.asobancaria.com/portal/pls/portal/docs/1/4391781.PDF</w:t>
        </w:r>
      </w:hyperlink>
    </w:p>
    <w:p w14:paraId="0772A579" w14:textId="77777777" w:rsidR="00504F79" w:rsidRPr="00946A17" w:rsidRDefault="00504F79" w:rsidP="00E802DD">
      <w:pPr>
        <w:pStyle w:val="Prrafodelista"/>
        <w:numPr>
          <w:ilvl w:val="0"/>
          <w:numId w:val="4"/>
        </w:numPr>
        <w:spacing w:after="0"/>
        <w:jc w:val="both"/>
        <w:rPr>
          <w:rFonts w:ascii="Arial" w:hAnsi="Arial" w:cs="Arial"/>
          <w:sz w:val="24"/>
          <w:szCs w:val="24"/>
        </w:rPr>
      </w:pPr>
      <w:r w:rsidRPr="00037B41">
        <w:rPr>
          <w:rFonts w:ascii="Arial" w:hAnsi="Arial" w:cs="Arial"/>
          <w:b/>
          <w:sz w:val="24"/>
          <w:szCs w:val="24"/>
          <w:shd w:val="clear" w:color="auto" w:fill="FFFFFF"/>
        </w:rPr>
        <w:t>Asociación Bancaria y de Entidades Financieras De Colombia.</w:t>
      </w:r>
      <w:r w:rsidRPr="00037B41">
        <w:rPr>
          <w:rFonts w:ascii="Arial" w:hAnsi="Arial" w:cs="Arial"/>
          <w:sz w:val="24"/>
          <w:szCs w:val="24"/>
          <w:shd w:val="clear" w:color="auto" w:fill="FFFFFF"/>
        </w:rPr>
        <w:t xml:space="preserve"> </w:t>
      </w:r>
      <w:r w:rsidRPr="00946A17">
        <w:rPr>
          <w:rFonts w:ascii="Arial" w:hAnsi="Arial" w:cs="Arial"/>
          <w:color w:val="545454"/>
          <w:sz w:val="24"/>
          <w:szCs w:val="24"/>
          <w:shd w:val="clear" w:color="auto" w:fill="FFFFFF"/>
        </w:rPr>
        <w:t xml:space="preserve">(2007). Reporte de bancarización. Recuperado de </w:t>
      </w:r>
      <w:hyperlink r:id="rId15" w:history="1">
        <w:r w:rsidRPr="00946A17">
          <w:rPr>
            <w:rStyle w:val="Hipervnculo"/>
            <w:rFonts w:ascii="Arial" w:hAnsi="Arial" w:cs="Arial"/>
            <w:sz w:val="24"/>
            <w:szCs w:val="24"/>
            <w:shd w:val="clear" w:color="auto" w:fill="FFFFFF"/>
          </w:rPr>
          <w:t>http://www.asobancaria.com/portal/pls/portal/docs/1/4389145.PDF</w:t>
        </w:r>
      </w:hyperlink>
    </w:p>
    <w:p w14:paraId="5442D438" w14:textId="77777777" w:rsidR="00504F79" w:rsidRPr="00946A17" w:rsidRDefault="00504F79" w:rsidP="00E802DD">
      <w:pPr>
        <w:pStyle w:val="Prrafodelista"/>
        <w:numPr>
          <w:ilvl w:val="0"/>
          <w:numId w:val="4"/>
        </w:numPr>
        <w:spacing w:after="0"/>
        <w:jc w:val="both"/>
        <w:rPr>
          <w:rFonts w:ascii="Arial" w:hAnsi="Arial" w:cs="Arial"/>
          <w:sz w:val="24"/>
          <w:szCs w:val="24"/>
        </w:rPr>
      </w:pPr>
      <w:r w:rsidRPr="00037B41">
        <w:rPr>
          <w:rFonts w:ascii="Arial" w:hAnsi="Arial" w:cs="Arial"/>
          <w:b/>
          <w:sz w:val="24"/>
          <w:szCs w:val="24"/>
          <w:shd w:val="clear" w:color="auto" w:fill="FFFFFF"/>
        </w:rPr>
        <w:t>Asociación Bancaria y de Entidades Financieras De Colombia.</w:t>
      </w:r>
      <w:r w:rsidRPr="00037B41">
        <w:rPr>
          <w:rFonts w:ascii="Arial" w:hAnsi="Arial" w:cs="Arial"/>
          <w:sz w:val="24"/>
          <w:szCs w:val="24"/>
          <w:shd w:val="clear" w:color="auto" w:fill="FFFFFF"/>
        </w:rPr>
        <w:t xml:space="preserve"> </w:t>
      </w:r>
      <w:r w:rsidRPr="00946A17">
        <w:rPr>
          <w:rFonts w:ascii="Arial" w:hAnsi="Arial" w:cs="Arial"/>
          <w:color w:val="545454"/>
          <w:sz w:val="24"/>
          <w:szCs w:val="24"/>
          <w:shd w:val="clear" w:color="auto" w:fill="FFFFFF"/>
        </w:rPr>
        <w:t xml:space="preserve">(2008). Reporte de bancarización. Recuperado de </w:t>
      </w:r>
      <w:hyperlink r:id="rId16" w:history="1">
        <w:r w:rsidRPr="00946A17">
          <w:rPr>
            <w:rStyle w:val="Hipervnculo"/>
            <w:rFonts w:ascii="Arial" w:hAnsi="Arial" w:cs="Arial"/>
            <w:sz w:val="24"/>
            <w:szCs w:val="24"/>
            <w:shd w:val="clear" w:color="auto" w:fill="FFFFFF"/>
          </w:rPr>
          <w:t>http://www.asobancaria.com/portal/pls/portal/docs/1/4389129.PDF</w:t>
        </w:r>
      </w:hyperlink>
    </w:p>
    <w:p w14:paraId="22D44A34" w14:textId="77777777" w:rsidR="00504F79" w:rsidRPr="00946A17" w:rsidRDefault="00504F79" w:rsidP="00E802DD">
      <w:pPr>
        <w:pStyle w:val="Prrafodelista"/>
        <w:numPr>
          <w:ilvl w:val="0"/>
          <w:numId w:val="4"/>
        </w:numPr>
        <w:spacing w:after="0"/>
        <w:jc w:val="both"/>
        <w:rPr>
          <w:rFonts w:ascii="Arial" w:hAnsi="Arial" w:cs="Arial"/>
          <w:sz w:val="24"/>
          <w:szCs w:val="24"/>
        </w:rPr>
      </w:pPr>
      <w:r w:rsidRPr="00037B41">
        <w:rPr>
          <w:rFonts w:ascii="Arial" w:hAnsi="Arial" w:cs="Arial"/>
          <w:b/>
          <w:sz w:val="24"/>
          <w:szCs w:val="24"/>
          <w:shd w:val="clear" w:color="auto" w:fill="FFFFFF"/>
        </w:rPr>
        <w:t>Asociación Bancaria y de Entidades Financieras De Colombia.</w:t>
      </w:r>
      <w:r w:rsidRPr="00037B41">
        <w:rPr>
          <w:rFonts w:ascii="Arial" w:hAnsi="Arial" w:cs="Arial"/>
          <w:sz w:val="24"/>
          <w:szCs w:val="24"/>
          <w:shd w:val="clear" w:color="auto" w:fill="FFFFFF"/>
        </w:rPr>
        <w:t xml:space="preserve"> </w:t>
      </w:r>
      <w:r w:rsidRPr="00946A17">
        <w:rPr>
          <w:rFonts w:ascii="Arial" w:hAnsi="Arial" w:cs="Arial"/>
          <w:color w:val="545454"/>
          <w:sz w:val="24"/>
          <w:szCs w:val="24"/>
          <w:shd w:val="clear" w:color="auto" w:fill="FFFFFF"/>
        </w:rPr>
        <w:t xml:space="preserve">(2009). Reporte de bancarización. Recuperado de </w:t>
      </w:r>
      <w:hyperlink r:id="rId17" w:history="1">
        <w:r w:rsidRPr="00946A17">
          <w:rPr>
            <w:rStyle w:val="Hipervnculo"/>
            <w:rFonts w:ascii="Arial" w:hAnsi="Arial" w:cs="Arial"/>
            <w:sz w:val="24"/>
            <w:szCs w:val="24"/>
            <w:shd w:val="clear" w:color="auto" w:fill="FFFFFF"/>
          </w:rPr>
          <w:t>http://www.asobancaria.com/portal/pls/portal/docs/1/4389113.PDF</w:t>
        </w:r>
      </w:hyperlink>
    </w:p>
    <w:p w14:paraId="452F68E8" w14:textId="77777777" w:rsidR="00504F79" w:rsidRPr="00946A17" w:rsidRDefault="00504F79" w:rsidP="00E802DD">
      <w:pPr>
        <w:pStyle w:val="Prrafodelista"/>
        <w:numPr>
          <w:ilvl w:val="0"/>
          <w:numId w:val="4"/>
        </w:numPr>
        <w:spacing w:after="0"/>
        <w:jc w:val="both"/>
        <w:rPr>
          <w:rFonts w:ascii="Arial" w:hAnsi="Arial" w:cs="Arial"/>
          <w:sz w:val="24"/>
          <w:szCs w:val="24"/>
        </w:rPr>
      </w:pPr>
      <w:r w:rsidRPr="00037B41">
        <w:rPr>
          <w:rFonts w:ascii="Arial" w:hAnsi="Arial" w:cs="Arial"/>
          <w:b/>
          <w:sz w:val="24"/>
          <w:szCs w:val="24"/>
          <w:shd w:val="clear" w:color="auto" w:fill="FFFFFF"/>
        </w:rPr>
        <w:t>Asociación Bancaria y de Entidades Financieras De Colombia.</w:t>
      </w:r>
      <w:r w:rsidRPr="00037B41">
        <w:rPr>
          <w:rFonts w:ascii="Arial" w:hAnsi="Arial" w:cs="Arial"/>
          <w:sz w:val="24"/>
          <w:szCs w:val="24"/>
          <w:shd w:val="clear" w:color="auto" w:fill="FFFFFF"/>
        </w:rPr>
        <w:t xml:space="preserve"> </w:t>
      </w:r>
      <w:r w:rsidRPr="00946A17">
        <w:rPr>
          <w:rFonts w:ascii="Arial" w:hAnsi="Arial" w:cs="Arial"/>
          <w:color w:val="545454"/>
          <w:sz w:val="24"/>
          <w:szCs w:val="24"/>
          <w:shd w:val="clear" w:color="auto" w:fill="FFFFFF"/>
        </w:rPr>
        <w:t xml:space="preserve">(2010). Reporte de bancarización. Recuperado de </w:t>
      </w:r>
      <w:hyperlink r:id="rId18" w:history="1">
        <w:r w:rsidRPr="00946A17">
          <w:rPr>
            <w:rStyle w:val="Hipervnculo"/>
            <w:rFonts w:ascii="Arial" w:hAnsi="Arial" w:cs="Arial"/>
            <w:sz w:val="24"/>
            <w:szCs w:val="24"/>
            <w:shd w:val="clear" w:color="auto" w:fill="FFFFFF"/>
          </w:rPr>
          <w:t>http://www.asobancaria.com/portal/pls/portal/docs/1/4392341.PDF</w:t>
        </w:r>
      </w:hyperlink>
    </w:p>
    <w:p w14:paraId="46D87914" w14:textId="77777777" w:rsidR="00504F79" w:rsidRPr="00946A17" w:rsidRDefault="00504F79" w:rsidP="00E802DD">
      <w:pPr>
        <w:pStyle w:val="Prrafodelista"/>
        <w:numPr>
          <w:ilvl w:val="0"/>
          <w:numId w:val="4"/>
        </w:numPr>
        <w:spacing w:after="0"/>
        <w:jc w:val="both"/>
        <w:rPr>
          <w:rFonts w:ascii="Arial" w:hAnsi="Arial" w:cs="Arial"/>
          <w:sz w:val="24"/>
          <w:szCs w:val="24"/>
        </w:rPr>
      </w:pPr>
      <w:r w:rsidRPr="00037B41">
        <w:rPr>
          <w:rFonts w:ascii="Arial" w:hAnsi="Arial" w:cs="Arial"/>
          <w:b/>
          <w:sz w:val="24"/>
          <w:szCs w:val="24"/>
          <w:shd w:val="clear" w:color="auto" w:fill="FFFFFF"/>
        </w:rPr>
        <w:t>Asociación Bancaria y de Entidades Financieras De Colombia.</w:t>
      </w:r>
      <w:r w:rsidRPr="00037B41">
        <w:rPr>
          <w:rFonts w:ascii="Arial" w:hAnsi="Arial" w:cs="Arial"/>
          <w:sz w:val="24"/>
          <w:szCs w:val="24"/>
          <w:shd w:val="clear" w:color="auto" w:fill="FFFFFF"/>
        </w:rPr>
        <w:t xml:space="preserve"> </w:t>
      </w:r>
      <w:r w:rsidRPr="00946A17">
        <w:rPr>
          <w:rFonts w:ascii="Arial" w:hAnsi="Arial" w:cs="Arial"/>
          <w:color w:val="545454"/>
          <w:sz w:val="24"/>
          <w:szCs w:val="24"/>
          <w:shd w:val="clear" w:color="auto" w:fill="FFFFFF"/>
        </w:rPr>
        <w:t xml:space="preserve">(2011). Informe de inclusión financiera. Recuperado de </w:t>
      </w:r>
      <w:hyperlink r:id="rId19" w:history="1">
        <w:r w:rsidRPr="00946A17">
          <w:rPr>
            <w:rStyle w:val="Hipervnculo"/>
            <w:rFonts w:ascii="Arial" w:hAnsi="Arial" w:cs="Arial"/>
            <w:sz w:val="24"/>
            <w:szCs w:val="24"/>
            <w:shd w:val="clear" w:color="auto" w:fill="FFFFFF"/>
          </w:rPr>
          <w:t>http://www.asobancaria.com/portal/pls/portal/docs/1/4394507.PDF</w:t>
        </w:r>
      </w:hyperlink>
    </w:p>
    <w:p w14:paraId="79A9C436" w14:textId="77777777" w:rsidR="00504F79" w:rsidRPr="00946A17" w:rsidRDefault="00504F79" w:rsidP="00E802DD">
      <w:pPr>
        <w:pStyle w:val="Prrafodelista"/>
        <w:numPr>
          <w:ilvl w:val="0"/>
          <w:numId w:val="4"/>
        </w:numPr>
        <w:spacing w:after="0"/>
        <w:jc w:val="both"/>
        <w:rPr>
          <w:rFonts w:ascii="Arial" w:hAnsi="Arial" w:cs="Arial"/>
          <w:sz w:val="24"/>
          <w:szCs w:val="24"/>
        </w:rPr>
      </w:pPr>
      <w:r w:rsidRPr="00037B41">
        <w:rPr>
          <w:rFonts w:ascii="Arial" w:hAnsi="Arial" w:cs="Arial"/>
          <w:b/>
          <w:sz w:val="24"/>
          <w:szCs w:val="24"/>
          <w:shd w:val="clear" w:color="auto" w:fill="FFFFFF"/>
        </w:rPr>
        <w:t>Asociación Bancaria y de Entidades Financieras De Colombia.</w:t>
      </w:r>
      <w:r w:rsidRPr="00037B41">
        <w:rPr>
          <w:rFonts w:ascii="Arial" w:hAnsi="Arial" w:cs="Arial"/>
          <w:sz w:val="24"/>
          <w:szCs w:val="24"/>
          <w:shd w:val="clear" w:color="auto" w:fill="FFFFFF"/>
        </w:rPr>
        <w:t xml:space="preserve"> </w:t>
      </w:r>
      <w:r w:rsidRPr="00946A17">
        <w:rPr>
          <w:rFonts w:ascii="Arial" w:hAnsi="Arial" w:cs="Arial"/>
          <w:color w:val="545454"/>
          <w:sz w:val="24"/>
          <w:szCs w:val="24"/>
          <w:shd w:val="clear" w:color="auto" w:fill="FFFFFF"/>
        </w:rPr>
        <w:t xml:space="preserve">(2012). Informe de inclusión financiera. Recuperado de </w:t>
      </w:r>
      <w:hyperlink r:id="rId20" w:history="1">
        <w:r w:rsidRPr="00946A17">
          <w:rPr>
            <w:rStyle w:val="Hipervnculo"/>
            <w:rFonts w:ascii="Arial" w:hAnsi="Arial" w:cs="Arial"/>
            <w:sz w:val="24"/>
            <w:szCs w:val="24"/>
            <w:shd w:val="clear" w:color="auto" w:fill="FFFFFF"/>
          </w:rPr>
          <w:t>http://www.asobancaria.com/portal/pls/portal/docs/1/4393461.PDF</w:t>
        </w:r>
      </w:hyperlink>
    </w:p>
    <w:p w14:paraId="00D9448E" w14:textId="77777777" w:rsidR="00504F79" w:rsidRPr="00946A17" w:rsidRDefault="00504F79" w:rsidP="00E802DD">
      <w:pPr>
        <w:pStyle w:val="Prrafodelista"/>
        <w:numPr>
          <w:ilvl w:val="0"/>
          <w:numId w:val="4"/>
        </w:numPr>
        <w:spacing w:after="0"/>
        <w:jc w:val="both"/>
        <w:rPr>
          <w:rFonts w:ascii="Arial" w:hAnsi="Arial" w:cs="Arial"/>
          <w:sz w:val="24"/>
          <w:szCs w:val="24"/>
        </w:rPr>
      </w:pPr>
      <w:r w:rsidRPr="00037B41">
        <w:rPr>
          <w:rFonts w:ascii="Arial" w:hAnsi="Arial" w:cs="Arial"/>
          <w:b/>
          <w:sz w:val="24"/>
          <w:szCs w:val="24"/>
          <w:shd w:val="clear" w:color="auto" w:fill="FFFFFF"/>
        </w:rPr>
        <w:lastRenderedPageBreak/>
        <w:t>Asociación Bancaria y de Entidades Financieras De Colombia.</w:t>
      </w:r>
      <w:r w:rsidRPr="00037B41">
        <w:rPr>
          <w:rFonts w:ascii="Arial" w:hAnsi="Arial" w:cs="Arial"/>
          <w:sz w:val="24"/>
          <w:szCs w:val="24"/>
          <w:shd w:val="clear" w:color="auto" w:fill="FFFFFF"/>
        </w:rPr>
        <w:t xml:space="preserve"> </w:t>
      </w:r>
      <w:r w:rsidRPr="00946A17">
        <w:rPr>
          <w:rFonts w:ascii="Arial" w:hAnsi="Arial" w:cs="Arial"/>
          <w:color w:val="545454"/>
          <w:sz w:val="24"/>
          <w:szCs w:val="24"/>
          <w:shd w:val="clear" w:color="auto" w:fill="FFFFFF"/>
        </w:rPr>
        <w:t xml:space="preserve">(2013). Informe de inclusión financiera. Recuperado de </w:t>
      </w:r>
      <w:hyperlink r:id="rId21" w:history="1">
        <w:r w:rsidRPr="00946A17">
          <w:rPr>
            <w:rStyle w:val="Hipervnculo"/>
            <w:rFonts w:ascii="Arial" w:hAnsi="Arial" w:cs="Arial"/>
            <w:sz w:val="24"/>
            <w:szCs w:val="24"/>
            <w:shd w:val="clear" w:color="auto" w:fill="FFFFFF"/>
          </w:rPr>
          <w:t>http://www.asobancaria.com/portal/pls/portal/docs/1/4394197.PDF</w:t>
        </w:r>
      </w:hyperlink>
    </w:p>
    <w:p w14:paraId="2A27B5A8" w14:textId="77777777" w:rsidR="00504F79" w:rsidRPr="00946A17" w:rsidRDefault="00504F79" w:rsidP="00E802DD">
      <w:pPr>
        <w:pStyle w:val="Prrafodelista"/>
        <w:numPr>
          <w:ilvl w:val="0"/>
          <w:numId w:val="4"/>
        </w:numPr>
        <w:spacing w:after="0"/>
        <w:jc w:val="both"/>
        <w:rPr>
          <w:rFonts w:ascii="Arial" w:hAnsi="Arial" w:cs="Arial"/>
          <w:sz w:val="24"/>
          <w:szCs w:val="24"/>
        </w:rPr>
      </w:pPr>
      <w:r w:rsidRPr="00037B41">
        <w:rPr>
          <w:rFonts w:ascii="Arial" w:hAnsi="Arial" w:cs="Arial"/>
          <w:b/>
          <w:sz w:val="24"/>
          <w:szCs w:val="24"/>
          <w:shd w:val="clear" w:color="auto" w:fill="FFFFFF"/>
        </w:rPr>
        <w:t>Asociación Bancaria y de Entidades Financieras De Colombia.</w:t>
      </w:r>
      <w:r w:rsidRPr="00037B41">
        <w:rPr>
          <w:rFonts w:ascii="Arial" w:hAnsi="Arial" w:cs="Arial"/>
          <w:sz w:val="24"/>
          <w:szCs w:val="24"/>
          <w:shd w:val="clear" w:color="auto" w:fill="FFFFFF"/>
        </w:rPr>
        <w:t xml:space="preserve"> </w:t>
      </w:r>
      <w:r>
        <w:rPr>
          <w:rFonts w:ascii="Arial" w:hAnsi="Arial" w:cs="Arial"/>
          <w:color w:val="545454"/>
          <w:sz w:val="24"/>
          <w:szCs w:val="24"/>
          <w:shd w:val="clear" w:color="auto" w:fill="FFFFFF"/>
        </w:rPr>
        <w:t>(2014</w:t>
      </w:r>
      <w:r w:rsidRPr="00946A17">
        <w:rPr>
          <w:rFonts w:ascii="Arial" w:hAnsi="Arial" w:cs="Arial"/>
          <w:color w:val="545454"/>
          <w:sz w:val="24"/>
          <w:szCs w:val="24"/>
          <w:shd w:val="clear" w:color="auto" w:fill="FFFFFF"/>
        </w:rPr>
        <w:t xml:space="preserve">). Informe de Inclusión Financiera. Recuperado de </w:t>
      </w:r>
      <w:hyperlink r:id="rId22" w:history="1">
        <w:r w:rsidRPr="00946A17">
          <w:rPr>
            <w:rStyle w:val="Hipervnculo"/>
            <w:rFonts w:ascii="Arial" w:hAnsi="Arial" w:cs="Arial"/>
            <w:sz w:val="24"/>
            <w:szCs w:val="24"/>
            <w:shd w:val="clear" w:color="auto" w:fill="FFFFFF"/>
          </w:rPr>
          <w:t>http://www.asobancaria.com/portal/pls/portal/docs/1/4484750.PDF</w:t>
        </w:r>
      </w:hyperlink>
    </w:p>
    <w:p w14:paraId="5070BF1B" w14:textId="77777777" w:rsidR="00504F79" w:rsidRPr="00946A17" w:rsidRDefault="00504F79" w:rsidP="00E802DD">
      <w:pPr>
        <w:pStyle w:val="Prrafodelista"/>
        <w:numPr>
          <w:ilvl w:val="0"/>
          <w:numId w:val="4"/>
        </w:numPr>
        <w:autoSpaceDE w:val="0"/>
        <w:autoSpaceDN w:val="0"/>
        <w:adjustRightInd w:val="0"/>
        <w:spacing w:after="0" w:line="240" w:lineRule="auto"/>
        <w:jc w:val="both"/>
        <w:rPr>
          <w:rFonts w:ascii="Arial" w:hAnsi="Arial" w:cs="Arial"/>
          <w:sz w:val="24"/>
          <w:szCs w:val="24"/>
        </w:rPr>
      </w:pPr>
      <w:r w:rsidRPr="00037B41">
        <w:rPr>
          <w:rFonts w:ascii="Arial" w:hAnsi="Arial" w:cs="Arial"/>
          <w:b/>
          <w:sz w:val="24"/>
          <w:szCs w:val="24"/>
        </w:rPr>
        <w:t>Banca de las oportunidades.</w:t>
      </w:r>
      <w:r w:rsidRPr="00946A17">
        <w:rPr>
          <w:rFonts w:ascii="Arial" w:hAnsi="Arial" w:cs="Arial"/>
          <w:sz w:val="24"/>
          <w:szCs w:val="24"/>
        </w:rPr>
        <w:t xml:space="preserve"> (18 de septiembre del 2105). Origen PIBO. Recuperado de </w:t>
      </w:r>
      <w:hyperlink r:id="rId23" w:history="1">
        <w:r w:rsidRPr="00946A17">
          <w:rPr>
            <w:rStyle w:val="Hipervnculo"/>
            <w:rFonts w:ascii="Arial" w:hAnsi="Arial" w:cs="Arial"/>
            <w:sz w:val="24"/>
            <w:szCs w:val="24"/>
          </w:rPr>
          <w:t>http://www.bancadelasoportunidades.com/contenido/contenido.aspx?catID=298&amp;conID=674</w:t>
        </w:r>
      </w:hyperlink>
    </w:p>
    <w:p w14:paraId="10604252" w14:textId="77777777" w:rsidR="00504F79" w:rsidRPr="00946A17" w:rsidRDefault="00504F79" w:rsidP="00E802DD">
      <w:pPr>
        <w:pStyle w:val="Prrafodelista"/>
        <w:numPr>
          <w:ilvl w:val="0"/>
          <w:numId w:val="4"/>
        </w:numPr>
        <w:autoSpaceDE w:val="0"/>
        <w:autoSpaceDN w:val="0"/>
        <w:adjustRightInd w:val="0"/>
        <w:spacing w:after="0" w:line="240" w:lineRule="auto"/>
        <w:jc w:val="both"/>
        <w:rPr>
          <w:rFonts w:ascii="Arial" w:hAnsi="Arial" w:cs="Arial"/>
          <w:sz w:val="24"/>
          <w:szCs w:val="24"/>
        </w:rPr>
      </w:pPr>
      <w:r w:rsidRPr="00037B41">
        <w:rPr>
          <w:rFonts w:ascii="Arial" w:hAnsi="Arial" w:cs="Arial"/>
          <w:b/>
          <w:sz w:val="24"/>
          <w:szCs w:val="24"/>
        </w:rPr>
        <w:t>Banca de las oportunidades</w:t>
      </w:r>
      <w:r w:rsidRPr="00946A17">
        <w:rPr>
          <w:rFonts w:ascii="Arial" w:hAnsi="Arial" w:cs="Arial"/>
          <w:sz w:val="24"/>
          <w:szCs w:val="24"/>
        </w:rPr>
        <w:t xml:space="preserve">. (2012).Evolución de la utilización de canales transaccionales y productos y servicios financieros. Recuperado de </w:t>
      </w:r>
      <w:hyperlink r:id="rId24" w:history="1">
        <w:r w:rsidRPr="00946A17">
          <w:rPr>
            <w:rStyle w:val="Hipervnculo"/>
            <w:rFonts w:ascii="Arial" w:hAnsi="Arial" w:cs="Arial"/>
            <w:sz w:val="24"/>
            <w:szCs w:val="24"/>
          </w:rPr>
          <w:t>http://www.bancadelasoportunidades.gov.co/documentos/Reporte%20Inclusion%20Financiera/2do_reporte/Reporte%20Final/Capitulos/3_Uso.pdf</w:t>
        </w:r>
      </w:hyperlink>
    </w:p>
    <w:p w14:paraId="57DCF4F1" w14:textId="77777777" w:rsidR="00504F79" w:rsidRPr="00946A17" w:rsidRDefault="00504F79" w:rsidP="00E802DD">
      <w:pPr>
        <w:pStyle w:val="Prrafodelista"/>
        <w:numPr>
          <w:ilvl w:val="0"/>
          <w:numId w:val="4"/>
        </w:numPr>
        <w:autoSpaceDE w:val="0"/>
        <w:autoSpaceDN w:val="0"/>
        <w:adjustRightInd w:val="0"/>
        <w:spacing w:after="0" w:line="240" w:lineRule="auto"/>
        <w:jc w:val="both"/>
        <w:rPr>
          <w:rFonts w:ascii="Arial" w:hAnsi="Arial" w:cs="Arial"/>
          <w:bCs/>
          <w:sz w:val="24"/>
          <w:szCs w:val="24"/>
        </w:rPr>
      </w:pPr>
      <w:r w:rsidRPr="00037B41">
        <w:rPr>
          <w:rFonts w:ascii="Arial" w:hAnsi="Arial" w:cs="Arial"/>
          <w:b/>
          <w:bCs/>
          <w:sz w:val="24"/>
          <w:szCs w:val="24"/>
        </w:rPr>
        <w:t>Banco de desarrollo de América Latina</w:t>
      </w:r>
      <w:r w:rsidRPr="00946A17">
        <w:rPr>
          <w:rFonts w:ascii="Arial" w:hAnsi="Arial" w:cs="Arial"/>
          <w:bCs/>
          <w:sz w:val="24"/>
          <w:szCs w:val="24"/>
        </w:rPr>
        <w:t>. (2013). La educación financiera en América Latina  y el Caribe, situación actual y perspectivas (</w:t>
      </w:r>
      <w:r w:rsidRPr="00946A17">
        <w:rPr>
          <w:rFonts w:ascii="Arial" w:hAnsi="Arial" w:cs="Arial"/>
          <w:color w:val="666666"/>
          <w:sz w:val="24"/>
          <w:szCs w:val="24"/>
        </w:rPr>
        <w:t>N°</w:t>
      </w:r>
      <w:r w:rsidRPr="00946A17">
        <w:rPr>
          <w:rFonts w:ascii="Arial" w:hAnsi="Arial" w:cs="Arial"/>
          <w:bCs/>
          <w:sz w:val="24"/>
          <w:szCs w:val="24"/>
        </w:rPr>
        <w:t xml:space="preserve"> 12). Recuperado de </w:t>
      </w:r>
      <w:hyperlink r:id="rId25" w:history="1">
        <w:r w:rsidRPr="00946A17">
          <w:rPr>
            <w:rStyle w:val="Hipervnculo"/>
            <w:rFonts w:ascii="Arial" w:hAnsi="Arial" w:cs="Arial"/>
            <w:bCs/>
            <w:sz w:val="24"/>
            <w:szCs w:val="24"/>
          </w:rPr>
          <w:t>http://www.oecd.org/daf/fin/financial-education/OECD_CAF_Financial_Education_Latin_AmericaES.pdf</w:t>
        </w:r>
      </w:hyperlink>
    </w:p>
    <w:p w14:paraId="52ADA162" w14:textId="77777777" w:rsidR="00504F79" w:rsidRPr="00946A17" w:rsidRDefault="00504F79" w:rsidP="00E802DD">
      <w:pPr>
        <w:pStyle w:val="Prrafodelista"/>
        <w:numPr>
          <w:ilvl w:val="0"/>
          <w:numId w:val="4"/>
        </w:numPr>
        <w:autoSpaceDE w:val="0"/>
        <w:autoSpaceDN w:val="0"/>
        <w:adjustRightInd w:val="0"/>
        <w:spacing w:after="0" w:line="240" w:lineRule="auto"/>
        <w:jc w:val="both"/>
        <w:rPr>
          <w:rFonts w:ascii="Arial" w:hAnsi="Arial" w:cs="Arial"/>
          <w:sz w:val="24"/>
          <w:szCs w:val="24"/>
        </w:rPr>
      </w:pPr>
      <w:r w:rsidRPr="00037B41">
        <w:rPr>
          <w:rFonts w:ascii="Arial" w:hAnsi="Arial" w:cs="Arial"/>
          <w:b/>
          <w:bCs/>
          <w:sz w:val="24"/>
          <w:szCs w:val="24"/>
        </w:rPr>
        <w:t>Banco de la Republica de Colombia.</w:t>
      </w:r>
      <w:r w:rsidRPr="00946A17">
        <w:rPr>
          <w:rFonts w:ascii="Arial" w:hAnsi="Arial" w:cs="Arial"/>
          <w:bCs/>
          <w:sz w:val="24"/>
          <w:szCs w:val="24"/>
        </w:rPr>
        <w:t xml:space="preserve"> (2007). </w:t>
      </w:r>
      <w:r w:rsidRPr="00946A17">
        <w:rPr>
          <w:rFonts w:ascii="Arial" w:hAnsi="Arial" w:cs="Arial"/>
          <w:sz w:val="24"/>
          <w:szCs w:val="24"/>
        </w:rPr>
        <w:t xml:space="preserve">Determinantes del acceso al crédito de los hogares colombianos (No. 449). Recuperado de </w:t>
      </w:r>
      <w:hyperlink r:id="rId26" w:history="1">
        <w:r w:rsidRPr="00946A17">
          <w:rPr>
            <w:rStyle w:val="Hipervnculo"/>
            <w:rFonts w:ascii="Arial" w:hAnsi="Arial" w:cs="Arial"/>
            <w:sz w:val="24"/>
            <w:szCs w:val="24"/>
          </w:rPr>
          <w:t>http://www.banrep.gov.co/sites/default/files/publicaciones/pdfs/borra449.pdf</w:t>
        </w:r>
      </w:hyperlink>
    </w:p>
    <w:p w14:paraId="6A1512A7" w14:textId="77777777" w:rsidR="00504F79" w:rsidRPr="00946A17" w:rsidRDefault="00504F79" w:rsidP="00E802DD">
      <w:pPr>
        <w:pStyle w:val="Prrafodelista"/>
        <w:numPr>
          <w:ilvl w:val="0"/>
          <w:numId w:val="4"/>
        </w:numPr>
        <w:spacing w:after="0"/>
        <w:jc w:val="both"/>
        <w:rPr>
          <w:rStyle w:val="Hipervnculo"/>
          <w:rFonts w:ascii="Arial" w:hAnsi="Arial" w:cs="Arial"/>
          <w:color w:val="auto"/>
          <w:sz w:val="24"/>
          <w:szCs w:val="24"/>
          <w:u w:val="none"/>
        </w:rPr>
      </w:pPr>
      <w:r w:rsidRPr="00037B41">
        <w:rPr>
          <w:rFonts w:ascii="Arial" w:hAnsi="Arial" w:cs="Arial"/>
          <w:b/>
          <w:sz w:val="24"/>
          <w:szCs w:val="24"/>
          <w:shd w:val="clear" w:color="auto" w:fill="FFFFFF"/>
        </w:rPr>
        <w:t>Banco de la Republica de Colombia</w:t>
      </w:r>
      <w:r w:rsidRPr="00037B41">
        <w:rPr>
          <w:rFonts w:ascii="Arial" w:hAnsi="Arial" w:cs="Arial"/>
          <w:sz w:val="24"/>
          <w:szCs w:val="24"/>
          <w:shd w:val="clear" w:color="auto" w:fill="FFFFFF"/>
        </w:rPr>
        <w:t xml:space="preserve">. </w:t>
      </w:r>
      <w:r w:rsidRPr="00946A17">
        <w:rPr>
          <w:rFonts w:ascii="Arial" w:hAnsi="Arial" w:cs="Arial"/>
          <w:color w:val="545454"/>
          <w:sz w:val="24"/>
          <w:szCs w:val="24"/>
          <w:shd w:val="clear" w:color="auto" w:fill="FFFFFF"/>
        </w:rPr>
        <w:t>(2012). Reporte de estabilidad financiera, situación actual del microcrédito en Colombia: características y experiencias. Recuperado de</w:t>
      </w:r>
      <w:r w:rsidRPr="00946A17">
        <w:rPr>
          <w:rFonts w:ascii="Arial" w:hAnsi="Arial" w:cs="Arial"/>
          <w:sz w:val="24"/>
          <w:szCs w:val="24"/>
        </w:rPr>
        <w:t xml:space="preserve"> </w:t>
      </w:r>
      <w:hyperlink r:id="rId27" w:history="1">
        <w:r w:rsidRPr="00946A17">
          <w:rPr>
            <w:rStyle w:val="Hipervnculo"/>
            <w:rFonts w:ascii="Arial" w:hAnsi="Arial" w:cs="Arial"/>
            <w:sz w:val="24"/>
            <w:szCs w:val="24"/>
          </w:rPr>
          <w:t>http://www.banrep.gov.co/sites/default/files/publicaciones/archivos/ref_sep_2012.pdf</w:t>
        </w:r>
      </w:hyperlink>
    </w:p>
    <w:p w14:paraId="457979A4" w14:textId="77777777" w:rsidR="00504F79" w:rsidRPr="00946A17" w:rsidRDefault="00504F79" w:rsidP="00946A17">
      <w:pPr>
        <w:pStyle w:val="Prrafodelista"/>
        <w:numPr>
          <w:ilvl w:val="0"/>
          <w:numId w:val="4"/>
        </w:numPr>
        <w:jc w:val="both"/>
        <w:rPr>
          <w:rFonts w:ascii="Arial" w:hAnsi="Arial" w:cs="Arial"/>
          <w:sz w:val="24"/>
          <w:szCs w:val="24"/>
        </w:rPr>
      </w:pPr>
      <w:r w:rsidRPr="00037B41">
        <w:rPr>
          <w:rFonts w:ascii="Arial" w:hAnsi="Arial" w:cs="Arial"/>
          <w:b/>
          <w:sz w:val="24"/>
          <w:szCs w:val="24"/>
        </w:rPr>
        <w:t>Banco Mundial</w:t>
      </w:r>
      <w:r w:rsidRPr="00946A17">
        <w:rPr>
          <w:rFonts w:ascii="Arial" w:hAnsi="Arial" w:cs="Arial"/>
          <w:sz w:val="24"/>
          <w:szCs w:val="24"/>
        </w:rPr>
        <w:t xml:space="preserve"> (2010) Doing Business en Colombia. Recuperado de: </w:t>
      </w:r>
      <w:hyperlink r:id="rId28" w:history="1">
        <w:r w:rsidRPr="00946A17">
          <w:rPr>
            <w:rStyle w:val="Hipervnculo"/>
            <w:rFonts w:ascii="Arial" w:hAnsi="Arial" w:cs="Arial"/>
            <w:sz w:val="24"/>
            <w:szCs w:val="24"/>
          </w:rPr>
          <w:t>http://espanol.doingbusiness.org/~/media/FPDKM/Doing%20Business/Documents/Subnational-Reports/DB10-Sub-Colombia-Spanish.pdf</w:t>
        </w:r>
      </w:hyperlink>
    </w:p>
    <w:p w14:paraId="603C74C6" w14:textId="77777777" w:rsidR="00504F79" w:rsidRPr="00946A17" w:rsidRDefault="00504F79" w:rsidP="00946A17">
      <w:pPr>
        <w:pStyle w:val="Prrafodelista"/>
        <w:numPr>
          <w:ilvl w:val="0"/>
          <w:numId w:val="4"/>
        </w:numPr>
        <w:autoSpaceDE w:val="0"/>
        <w:autoSpaceDN w:val="0"/>
        <w:adjustRightInd w:val="0"/>
        <w:spacing w:after="0" w:line="240" w:lineRule="auto"/>
        <w:jc w:val="both"/>
        <w:rPr>
          <w:rFonts w:ascii="Arial" w:hAnsi="Arial" w:cs="Arial"/>
          <w:sz w:val="24"/>
          <w:szCs w:val="24"/>
        </w:rPr>
      </w:pPr>
      <w:r w:rsidRPr="00037B41">
        <w:rPr>
          <w:rFonts w:ascii="Arial" w:hAnsi="Arial" w:cs="Arial"/>
          <w:b/>
          <w:sz w:val="24"/>
          <w:szCs w:val="24"/>
        </w:rPr>
        <w:t>Departamento Administrativo Nacional de Estadística.</w:t>
      </w:r>
      <w:r w:rsidRPr="00946A17">
        <w:rPr>
          <w:rFonts w:ascii="Arial" w:hAnsi="Arial" w:cs="Arial"/>
          <w:sz w:val="24"/>
          <w:szCs w:val="24"/>
        </w:rPr>
        <w:t xml:space="preserve">  (2012). Reporte anexos de pobreza por departamentos. Recuperado de </w:t>
      </w:r>
      <w:hyperlink r:id="rId29" w:history="1">
        <w:r w:rsidRPr="00946A17">
          <w:rPr>
            <w:rStyle w:val="Hipervnculo"/>
            <w:rFonts w:ascii="Arial" w:hAnsi="Arial" w:cs="Arial"/>
            <w:sz w:val="24"/>
            <w:szCs w:val="24"/>
            <w:shd w:val="clear" w:color="auto" w:fill="FFFFFF"/>
          </w:rPr>
          <w:t>https://www.</w:t>
        </w:r>
        <w:r w:rsidRPr="00946A17">
          <w:rPr>
            <w:rStyle w:val="Hipervnculo"/>
            <w:rFonts w:ascii="Arial" w:hAnsi="Arial" w:cs="Arial"/>
            <w:b/>
            <w:bCs/>
            <w:sz w:val="24"/>
            <w:szCs w:val="24"/>
            <w:shd w:val="clear" w:color="auto" w:fill="FFFFFF"/>
          </w:rPr>
          <w:t>dane</w:t>
        </w:r>
        <w:r w:rsidRPr="00946A17">
          <w:rPr>
            <w:rStyle w:val="Hipervnculo"/>
            <w:rFonts w:ascii="Arial" w:hAnsi="Arial" w:cs="Arial"/>
            <w:sz w:val="24"/>
            <w:szCs w:val="24"/>
            <w:shd w:val="clear" w:color="auto" w:fill="FFFFFF"/>
          </w:rPr>
          <w:t>.gov.co/.../</w:t>
        </w:r>
        <w:r w:rsidRPr="00946A17">
          <w:rPr>
            <w:rStyle w:val="Hipervnculo"/>
            <w:rFonts w:ascii="Arial" w:hAnsi="Arial" w:cs="Arial"/>
            <w:b/>
            <w:bCs/>
            <w:sz w:val="24"/>
            <w:szCs w:val="24"/>
            <w:shd w:val="clear" w:color="auto" w:fill="FFFFFF"/>
          </w:rPr>
          <w:t>pobreza</w:t>
        </w:r>
        <w:r w:rsidRPr="00946A17">
          <w:rPr>
            <w:rStyle w:val="Hipervnculo"/>
            <w:rFonts w:ascii="Arial" w:hAnsi="Arial" w:cs="Arial"/>
            <w:sz w:val="24"/>
            <w:szCs w:val="24"/>
            <w:shd w:val="clear" w:color="auto" w:fill="FFFFFF"/>
          </w:rPr>
          <w:t>/anexos_</w:t>
        </w:r>
        <w:r w:rsidRPr="00946A17">
          <w:rPr>
            <w:rStyle w:val="Hipervnculo"/>
            <w:rFonts w:ascii="Arial" w:hAnsi="Arial" w:cs="Arial"/>
            <w:b/>
            <w:bCs/>
            <w:sz w:val="24"/>
            <w:szCs w:val="24"/>
            <w:shd w:val="clear" w:color="auto" w:fill="FFFFFF"/>
          </w:rPr>
          <w:t>pobreza</w:t>
        </w:r>
        <w:r w:rsidRPr="00946A17">
          <w:rPr>
            <w:rStyle w:val="Hipervnculo"/>
            <w:rFonts w:ascii="Arial" w:hAnsi="Arial" w:cs="Arial"/>
            <w:sz w:val="24"/>
            <w:szCs w:val="24"/>
            <w:shd w:val="clear" w:color="auto" w:fill="FFFFFF"/>
          </w:rPr>
          <w:t>_</w:t>
        </w:r>
        <w:r w:rsidRPr="00946A17">
          <w:rPr>
            <w:rStyle w:val="Hipervnculo"/>
            <w:rFonts w:ascii="Arial" w:hAnsi="Arial" w:cs="Arial"/>
            <w:b/>
            <w:bCs/>
            <w:sz w:val="24"/>
            <w:szCs w:val="24"/>
            <w:shd w:val="clear" w:color="auto" w:fill="FFFFFF"/>
          </w:rPr>
          <w:t>departamentos</w:t>
        </w:r>
        <w:r w:rsidRPr="00946A17">
          <w:rPr>
            <w:rStyle w:val="Hipervnculo"/>
            <w:rFonts w:ascii="Arial" w:hAnsi="Arial" w:cs="Arial"/>
            <w:sz w:val="24"/>
            <w:szCs w:val="24"/>
            <w:shd w:val="clear" w:color="auto" w:fill="FFFFFF"/>
          </w:rPr>
          <w:t>_</w:t>
        </w:r>
        <w:r w:rsidRPr="00946A17">
          <w:rPr>
            <w:rStyle w:val="Hipervnculo"/>
            <w:rFonts w:ascii="Arial" w:hAnsi="Arial" w:cs="Arial"/>
            <w:b/>
            <w:bCs/>
            <w:sz w:val="24"/>
            <w:szCs w:val="24"/>
            <w:shd w:val="clear" w:color="auto" w:fill="FFFFFF"/>
          </w:rPr>
          <w:t>20</w:t>
        </w:r>
      </w:hyperlink>
      <w:r>
        <w:rPr>
          <w:rFonts w:ascii="Arial" w:hAnsi="Arial" w:cs="Arial"/>
          <w:color w:val="006621"/>
          <w:sz w:val="24"/>
          <w:szCs w:val="24"/>
          <w:shd w:val="clear" w:color="auto" w:fill="FFFFFF"/>
        </w:rPr>
        <w:t>.</w:t>
      </w:r>
    </w:p>
    <w:p w14:paraId="0A58B4DD" w14:textId="77777777" w:rsidR="00504F79" w:rsidRPr="00946A17" w:rsidRDefault="00504F79" w:rsidP="00946A17">
      <w:pPr>
        <w:pStyle w:val="Prrafodelista"/>
        <w:numPr>
          <w:ilvl w:val="0"/>
          <w:numId w:val="4"/>
        </w:numPr>
        <w:jc w:val="both"/>
        <w:rPr>
          <w:rFonts w:ascii="Arial" w:hAnsi="Arial" w:cs="Arial"/>
          <w:sz w:val="24"/>
          <w:szCs w:val="24"/>
        </w:rPr>
      </w:pPr>
      <w:r w:rsidRPr="00037B41">
        <w:rPr>
          <w:rFonts w:ascii="Arial" w:hAnsi="Arial" w:cs="Arial"/>
          <w:b/>
          <w:sz w:val="24"/>
          <w:szCs w:val="24"/>
        </w:rPr>
        <w:t>Escobar, Andrés F; Pajarito, Monica P.</w:t>
      </w:r>
      <w:r w:rsidRPr="00946A17">
        <w:rPr>
          <w:rFonts w:ascii="Arial" w:hAnsi="Arial" w:cs="Arial"/>
          <w:sz w:val="24"/>
          <w:szCs w:val="24"/>
        </w:rPr>
        <w:t xml:space="preserve"> (2014) Alcance e implicaciones del derecho al Hábeas Data en el comercio colombiano. (Tesis) Bogotá: Pontificia Universidad Javeriana.</w:t>
      </w:r>
    </w:p>
    <w:p w14:paraId="081F291A" w14:textId="77777777" w:rsidR="00504F79" w:rsidRPr="00946A17" w:rsidRDefault="00504F79" w:rsidP="00946A17">
      <w:pPr>
        <w:pStyle w:val="Prrafodelista"/>
        <w:numPr>
          <w:ilvl w:val="0"/>
          <w:numId w:val="4"/>
        </w:numPr>
        <w:jc w:val="both"/>
        <w:rPr>
          <w:rFonts w:ascii="Arial" w:hAnsi="Arial" w:cs="Arial"/>
          <w:sz w:val="24"/>
          <w:szCs w:val="24"/>
        </w:rPr>
      </w:pPr>
      <w:r w:rsidRPr="00037B41">
        <w:rPr>
          <w:rFonts w:ascii="Arial" w:hAnsi="Arial" w:cs="Arial"/>
          <w:b/>
          <w:sz w:val="24"/>
          <w:szCs w:val="24"/>
        </w:rPr>
        <w:lastRenderedPageBreak/>
        <w:t>García Alba, Jaime –coordinador-</w:t>
      </w:r>
      <w:r w:rsidRPr="00946A17">
        <w:rPr>
          <w:rFonts w:ascii="Arial" w:hAnsi="Arial" w:cs="Arial"/>
          <w:sz w:val="24"/>
          <w:szCs w:val="24"/>
        </w:rPr>
        <w:t xml:space="preserve"> (2009) Telefonía móvil y desarrollo financiero en América Latina. España: Fundación Telefónica.</w:t>
      </w:r>
    </w:p>
    <w:p w14:paraId="2E78815F" w14:textId="77777777" w:rsidR="00504F79" w:rsidRPr="00946A17" w:rsidRDefault="00504F79" w:rsidP="00E802DD">
      <w:pPr>
        <w:pStyle w:val="Prrafodelista"/>
        <w:numPr>
          <w:ilvl w:val="0"/>
          <w:numId w:val="4"/>
        </w:numPr>
        <w:spacing w:after="0"/>
        <w:jc w:val="both"/>
        <w:rPr>
          <w:rFonts w:ascii="Arial" w:hAnsi="Arial" w:cs="Arial"/>
          <w:sz w:val="24"/>
          <w:szCs w:val="24"/>
        </w:rPr>
      </w:pPr>
      <w:r w:rsidRPr="00037B41">
        <w:rPr>
          <w:rFonts w:ascii="Arial" w:hAnsi="Arial" w:cs="Arial"/>
          <w:b/>
          <w:bCs/>
          <w:sz w:val="24"/>
          <w:szCs w:val="24"/>
        </w:rPr>
        <w:t>Gil García, norma y Hoyos, Lorena</w:t>
      </w:r>
      <w:r w:rsidRPr="00946A17">
        <w:rPr>
          <w:rFonts w:ascii="Arial" w:hAnsi="Arial" w:cs="Arial"/>
          <w:bCs/>
          <w:sz w:val="24"/>
          <w:szCs w:val="24"/>
        </w:rPr>
        <w:t xml:space="preserve"> (2006 -2007). El microcrédito en Colombia; una mirada al impacto del ingreso de la población bogotana beneficiada por la banca de las oportunidades. Recuperado de </w:t>
      </w:r>
      <w:hyperlink r:id="rId30" w:history="1">
        <w:r w:rsidRPr="00946A17">
          <w:rPr>
            <w:rStyle w:val="Hipervnculo"/>
            <w:rFonts w:ascii="Arial" w:hAnsi="Arial" w:cs="Arial"/>
            <w:b/>
            <w:bCs/>
            <w:sz w:val="24"/>
            <w:szCs w:val="24"/>
          </w:rPr>
          <w:t>http://repository.lasalle.edu.co/bitstream/handle/10185/12429/T10.09%20G4563m.pdf;jsessionid=BF26895C8FA5B0DA871E6B338978958B?sequence=1</w:t>
        </w:r>
      </w:hyperlink>
    </w:p>
    <w:p w14:paraId="6007D275" w14:textId="77777777" w:rsidR="00504F79" w:rsidRPr="00946A17" w:rsidRDefault="00504F79" w:rsidP="00E802DD">
      <w:pPr>
        <w:pStyle w:val="Prrafodelista"/>
        <w:numPr>
          <w:ilvl w:val="0"/>
          <w:numId w:val="4"/>
        </w:numPr>
        <w:spacing w:after="0"/>
        <w:jc w:val="both"/>
        <w:rPr>
          <w:rFonts w:ascii="Arial" w:hAnsi="Arial" w:cs="Arial"/>
          <w:sz w:val="24"/>
          <w:szCs w:val="24"/>
        </w:rPr>
      </w:pPr>
      <w:r w:rsidRPr="00037B41">
        <w:rPr>
          <w:rFonts w:ascii="Arial" w:hAnsi="Arial" w:cs="Arial"/>
          <w:b/>
          <w:sz w:val="24"/>
          <w:szCs w:val="24"/>
        </w:rPr>
        <w:t>González-Calero, Francisco -coordinador-</w:t>
      </w:r>
      <w:r w:rsidRPr="00946A17">
        <w:rPr>
          <w:rFonts w:ascii="Arial" w:hAnsi="Arial" w:cs="Arial"/>
          <w:sz w:val="24"/>
          <w:szCs w:val="24"/>
        </w:rPr>
        <w:t xml:space="preserve"> (2014) Protección de datos y Hábeas Data: una visión desde Iberoamérica. Madrid: Agencia Española de Protección de Datos.</w:t>
      </w:r>
    </w:p>
    <w:p w14:paraId="2721AE25" w14:textId="77777777" w:rsidR="00504F79" w:rsidRPr="00946A17" w:rsidRDefault="00504F79" w:rsidP="00E802DD">
      <w:pPr>
        <w:pStyle w:val="Prrafodelista"/>
        <w:numPr>
          <w:ilvl w:val="0"/>
          <w:numId w:val="4"/>
        </w:numPr>
        <w:autoSpaceDE w:val="0"/>
        <w:autoSpaceDN w:val="0"/>
        <w:adjustRightInd w:val="0"/>
        <w:spacing w:after="0" w:line="240" w:lineRule="auto"/>
        <w:jc w:val="both"/>
        <w:rPr>
          <w:rFonts w:ascii="Arial" w:hAnsi="Arial" w:cs="Arial"/>
          <w:sz w:val="24"/>
          <w:szCs w:val="24"/>
        </w:rPr>
      </w:pPr>
      <w:r w:rsidRPr="00037B41">
        <w:rPr>
          <w:rFonts w:ascii="Arial" w:hAnsi="Arial" w:cs="Arial"/>
          <w:b/>
          <w:sz w:val="24"/>
          <w:szCs w:val="24"/>
        </w:rPr>
        <w:t>Grupo del Banco Mundial.</w:t>
      </w:r>
      <w:r w:rsidRPr="00946A17">
        <w:rPr>
          <w:rFonts w:ascii="Arial" w:hAnsi="Arial" w:cs="Arial"/>
          <w:sz w:val="24"/>
          <w:szCs w:val="24"/>
        </w:rPr>
        <w:t xml:space="preserve"> (2010). Doing business (No 3). Recuperado de </w:t>
      </w:r>
      <w:hyperlink r:id="rId31" w:history="1">
        <w:r w:rsidRPr="00946A17">
          <w:rPr>
            <w:rStyle w:val="Hipervnculo"/>
            <w:rFonts w:ascii="Arial" w:hAnsi="Arial" w:cs="Arial"/>
            <w:sz w:val="24"/>
            <w:szCs w:val="24"/>
          </w:rPr>
          <w:t>http://espanol.doingbusiness.org/~/media/GIAWB/Doing%20Business/Documents/Subnational-Reports/DB13-Colombia-Spanish.pdf</w:t>
        </w:r>
      </w:hyperlink>
    </w:p>
    <w:p w14:paraId="52227A89" w14:textId="77777777" w:rsidR="00504F79" w:rsidRPr="00946A17" w:rsidRDefault="00504F79" w:rsidP="00E802DD">
      <w:pPr>
        <w:pStyle w:val="Prrafodelista"/>
        <w:numPr>
          <w:ilvl w:val="0"/>
          <w:numId w:val="4"/>
        </w:numPr>
        <w:autoSpaceDE w:val="0"/>
        <w:autoSpaceDN w:val="0"/>
        <w:adjustRightInd w:val="0"/>
        <w:spacing w:after="0" w:line="240" w:lineRule="auto"/>
        <w:jc w:val="both"/>
        <w:rPr>
          <w:rFonts w:ascii="Arial" w:hAnsi="Arial" w:cs="Arial"/>
          <w:sz w:val="24"/>
          <w:szCs w:val="24"/>
        </w:rPr>
      </w:pPr>
      <w:r w:rsidRPr="00037B41">
        <w:rPr>
          <w:rFonts w:ascii="Arial" w:hAnsi="Arial" w:cs="Arial"/>
          <w:b/>
          <w:sz w:val="24"/>
          <w:szCs w:val="24"/>
        </w:rPr>
        <w:t>Grupo del Banco Mundial.</w:t>
      </w:r>
      <w:r w:rsidRPr="00946A17">
        <w:rPr>
          <w:rFonts w:ascii="Arial" w:hAnsi="Arial" w:cs="Arial"/>
          <w:sz w:val="24"/>
          <w:szCs w:val="24"/>
        </w:rPr>
        <w:t xml:space="preserve"> (2013). Doing business (No 2). Recuperado de </w:t>
      </w:r>
      <w:hyperlink r:id="rId32" w:history="1">
        <w:r w:rsidRPr="00946A17">
          <w:rPr>
            <w:rStyle w:val="Hipervnculo"/>
            <w:rFonts w:ascii="Arial" w:hAnsi="Arial" w:cs="Arial"/>
            <w:sz w:val="24"/>
            <w:szCs w:val="24"/>
          </w:rPr>
          <w:t>http://espanol.doingbusiness.org/~/media/FPDKM/Doing%20Business/Documents/Subnational-Reports/DB10-Sub-Colombia-Spanish.pdf</w:t>
        </w:r>
      </w:hyperlink>
    </w:p>
    <w:p w14:paraId="0FC3C359" w14:textId="77777777" w:rsidR="00504F79" w:rsidRDefault="00504F79" w:rsidP="00C5201D">
      <w:pPr>
        <w:pStyle w:val="Prrafodelista"/>
        <w:numPr>
          <w:ilvl w:val="0"/>
          <w:numId w:val="4"/>
        </w:numPr>
        <w:autoSpaceDE w:val="0"/>
        <w:autoSpaceDN w:val="0"/>
        <w:adjustRightInd w:val="0"/>
        <w:spacing w:after="0" w:line="240" w:lineRule="auto"/>
        <w:jc w:val="both"/>
        <w:rPr>
          <w:rFonts w:ascii="Arial" w:hAnsi="Arial" w:cs="Arial"/>
          <w:sz w:val="24"/>
          <w:szCs w:val="24"/>
        </w:rPr>
      </w:pPr>
      <w:r w:rsidRPr="00037B41">
        <w:rPr>
          <w:rFonts w:ascii="Arial" w:hAnsi="Arial" w:cs="Arial"/>
          <w:b/>
          <w:sz w:val="24"/>
          <w:szCs w:val="24"/>
        </w:rPr>
        <w:t>López Pérez, Rubén.</w:t>
      </w:r>
      <w:r>
        <w:rPr>
          <w:rFonts w:ascii="Arial" w:hAnsi="Arial" w:cs="Arial"/>
          <w:sz w:val="24"/>
          <w:szCs w:val="24"/>
        </w:rPr>
        <w:t xml:space="preserve"> (2014). </w:t>
      </w:r>
      <w:r w:rsidRPr="00C5201D">
        <w:rPr>
          <w:rFonts w:ascii="Arial" w:hAnsi="Arial" w:cs="Arial"/>
          <w:sz w:val="24"/>
          <w:szCs w:val="24"/>
        </w:rPr>
        <w:t>Los corresponsales, con crecimiento de 39,9%, movieron $20 billones durante 2013</w:t>
      </w:r>
      <w:r>
        <w:rPr>
          <w:rFonts w:ascii="Arial" w:hAnsi="Arial" w:cs="Arial"/>
          <w:sz w:val="24"/>
          <w:szCs w:val="24"/>
        </w:rPr>
        <w:t xml:space="preserve">. En: </w:t>
      </w:r>
      <w:r>
        <w:rPr>
          <w:rFonts w:ascii="Arial" w:hAnsi="Arial" w:cs="Arial"/>
          <w:i/>
          <w:sz w:val="24"/>
          <w:szCs w:val="24"/>
        </w:rPr>
        <w:t>La República</w:t>
      </w:r>
      <w:r>
        <w:rPr>
          <w:rFonts w:ascii="Arial" w:hAnsi="Arial" w:cs="Arial"/>
          <w:sz w:val="24"/>
          <w:szCs w:val="24"/>
        </w:rPr>
        <w:t xml:space="preserve">. Recuperado de: </w:t>
      </w:r>
      <w:hyperlink r:id="rId33" w:history="1">
        <w:r w:rsidRPr="001001C6">
          <w:rPr>
            <w:rStyle w:val="Hipervnculo"/>
            <w:rFonts w:ascii="Arial" w:hAnsi="Arial" w:cs="Arial"/>
            <w:sz w:val="24"/>
            <w:szCs w:val="24"/>
          </w:rPr>
          <w:t>http://www.larepublica.co/los-corresponsales-con-crecimiento-de-399-movieron-20-billones-durante-2013_110606</w:t>
        </w:r>
      </w:hyperlink>
    </w:p>
    <w:p w14:paraId="6429DE2F" w14:textId="77777777" w:rsidR="00504F79" w:rsidRPr="00946A17" w:rsidRDefault="00504F79" w:rsidP="00E802DD">
      <w:pPr>
        <w:pStyle w:val="Prrafodelista"/>
        <w:numPr>
          <w:ilvl w:val="0"/>
          <w:numId w:val="4"/>
        </w:numPr>
        <w:spacing w:after="0"/>
        <w:jc w:val="both"/>
        <w:rPr>
          <w:rFonts w:ascii="Arial" w:hAnsi="Arial" w:cs="Arial"/>
          <w:sz w:val="24"/>
          <w:szCs w:val="24"/>
        </w:rPr>
      </w:pPr>
      <w:r w:rsidRPr="00037B41">
        <w:rPr>
          <w:rFonts w:ascii="Arial" w:hAnsi="Arial" w:cs="Arial"/>
          <w:b/>
          <w:sz w:val="24"/>
          <w:szCs w:val="24"/>
        </w:rPr>
        <w:t>Ramírez Prado, Juliana,</w:t>
      </w:r>
      <w:r w:rsidRPr="00946A17">
        <w:rPr>
          <w:rFonts w:ascii="Arial" w:hAnsi="Arial" w:cs="Arial"/>
          <w:sz w:val="24"/>
          <w:szCs w:val="24"/>
        </w:rPr>
        <w:t xml:space="preserve"> (9 de marzo de 2015) La violación de Hábeas Data dejó multas por $1.892 millones durante el año pasado. </w:t>
      </w:r>
      <w:r w:rsidRPr="00946A17">
        <w:rPr>
          <w:rFonts w:ascii="Arial" w:hAnsi="Arial" w:cs="Arial"/>
          <w:i/>
          <w:sz w:val="24"/>
          <w:szCs w:val="24"/>
        </w:rPr>
        <w:t>La República.</w:t>
      </w:r>
      <w:r w:rsidRPr="00946A17">
        <w:rPr>
          <w:rFonts w:ascii="Arial" w:hAnsi="Arial" w:cs="Arial"/>
          <w:sz w:val="24"/>
          <w:szCs w:val="24"/>
        </w:rPr>
        <w:t xml:space="preserve"> Recuperado de: </w:t>
      </w:r>
      <w:hyperlink r:id="rId34" w:history="1">
        <w:r w:rsidRPr="00946A17">
          <w:rPr>
            <w:rStyle w:val="Hipervnculo"/>
            <w:rFonts w:ascii="Arial" w:hAnsi="Arial" w:cs="Arial"/>
            <w:sz w:val="24"/>
            <w:szCs w:val="24"/>
          </w:rPr>
          <w:t>http://www.larepublica.co/la-violaci%C3%B3n-de-habeas-data-dej%C3%B3-multas-por-1892-millones-durante-el-a%C3%B1o-pasado_228696</w:t>
        </w:r>
      </w:hyperlink>
      <w:r w:rsidRPr="00946A17">
        <w:rPr>
          <w:rFonts w:ascii="Arial" w:hAnsi="Arial" w:cs="Arial"/>
          <w:sz w:val="24"/>
          <w:szCs w:val="24"/>
        </w:rPr>
        <w:t>)</w:t>
      </w:r>
    </w:p>
    <w:p w14:paraId="353D9B66" w14:textId="77777777" w:rsidR="00504F79" w:rsidRDefault="00504F79" w:rsidP="00E802DD">
      <w:pPr>
        <w:pStyle w:val="Prrafodelista"/>
        <w:numPr>
          <w:ilvl w:val="0"/>
          <w:numId w:val="4"/>
        </w:numPr>
        <w:autoSpaceDE w:val="0"/>
        <w:autoSpaceDN w:val="0"/>
        <w:adjustRightInd w:val="0"/>
        <w:spacing w:after="0" w:line="240" w:lineRule="auto"/>
        <w:jc w:val="both"/>
        <w:rPr>
          <w:rFonts w:ascii="Arial" w:hAnsi="Arial" w:cs="Arial"/>
          <w:sz w:val="24"/>
          <w:szCs w:val="24"/>
        </w:rPr>
      </w:pPr>
      <w:r w:rsidRPr="00037B41">
        <w:rPr>
          <w:rFonts w:ascii="Arial" w:hAnsi="Arial" w:cs="Arial"/>
          <w:b/>
          <w:sz w:val="24"/>
          <w:szCs w:val="24"/>
          <w:shd w:val="clear" w:color="auto" w:fill="FFFFFF"/>
        </w:rPr>
        <w:t>Semana</w:t>
      </w:r>
      <w:r w:rsidRPr="00946A17">
        <w:rPr>
          <w:rFonts w:ascii="Arial" w:hAnsi="Arial" w:cs="Arial"/>
          <w:sz w:val="24"/>
          <w:szCs w:val="24"/>
          <w:shd w:val="clear" w:color="auto" w:fill="FFFFFF"/>
        </w:rPr>
        <w:t xml:space="preserve"> (24 de marzo del 2015). </w:t>
      </w:r>
      <w:r w:rsidRPr="00946A17">
        <w:rPr>
          <w:rFonts w:ascii="Arial" w:hAnsi="Arial" w:cs="Arial"/>
          <w:i/>
          <w:sz w:val="24"/>
          <w:szCs w:val="24"/>
          <w:shd w:val="clear" w:color="auto" w:fill="FFFFFF"/>
        </w:rPr>
        <w:t xml:space="preserve">4,4 millones de colombianos han salido de la pobreza: Gobierno. </w:t>
      </w:r>
      <w:r w:rsidRPr="00946A17">
        <w:rPr>
          <w:rFonts w:ascii="Arial" w:hAnsi="Arial" w:cs="Arial"/>
          <w:sz w:val="24"/>
          <w:szCs w:val="24"/>
          <w:shd w:val="clear" w:color="auto" w:fill="FFFFFF"/>
        </w:rPr>
        <w:t xml:space="preserve">Recuperado de </w:t>
      </w:r>
      <w:hyperlink r:id="rId35" w:history="1">
        <w:r w:rsidRPr="00C04FFB">
          <w:rPr>
            <w:rStyle w:val="Hipervnculo"/>
            <w:rFonts w:ascii="Arial" w:hAnsi="Arial" w:cs="Arial"/>
            <w:sz w:val="24"/>
            <w:szCs w:val="24"/>
          </w:rPr>
          <w:t>http://www.semana.com/nacion/articulo/44-millones-de-colombianos-han-salido-de-la-pobreza-gobierno/422041-3</w:t>
        </w:r>
      </w:hyperlink>
    </w:p>
    <w:p w14:paraId="6235B662" w14:textId="77777777" w:rsidR="00946A17" w:rsidRPr="00916204" w:rsidRDefault="00946A17" w:rsidP="00946A17">
      <w:pPr>
        <w:pStyle w:val="Prrafodelista"/>
        <w:jc w:val="both"/>
        <w:rPr>
          <w:rFonts w:ascii="Arial" w:hAnsi="Arial" w:cs="Arial"/>
          <w:sz w:val="24"/>
          <w:szCs w:val="24"/>
        </w:rPr>
      </w:pPr>
    </w:p>
    <w:p w14:paraId="2F8740DB" w14:textId="77777777" w:rsidR="00A74159" w:rsidRPr="00A74159" w:rsidRDefault="00A74159" w:rsidP="00A74159">
      <w:pPr>
        <w:jc w:val="both"/>
        <w:rPr>
          <w:rFonts w:ascii="Arial" w:hAnsi="Arial" w:cs="Arial"/>
          <w:sz w:val="24"/>
          <w:szCs w:val="24"/>
        </w:rPr>
      </w:pPr>
    </w:p>
    <w:p w14:paraId="1166D86B" w14:textId="77777777" w:rsidR="00FA74D2" w:rsidRPr="003C0DD2" w:rsidRDefault="00FA74D2" w:rsidP="00946A17">
      <w:pPr>
        <w:widowControl w:val="0"/>
        <w:spacing w:after="0" w:line="240" w:lineRule="auto"/>
        <w:jc w:val="center"/>
        <w:rPr>
          <w:rFonts w:ascii="Arial" w:hAnsi="Arial" w:cs="Arial"/>
          <w:b/>
          <w:sz w:val="36"/>
          <w:szCs w:val="28"/>
        </w:rPr>
      </w:pPr>
    </w:p>
    <w:p w14:paraId="2B17658A" w14:textId="77777777" w:rsidR="003142DE" w:rsidRDefault="003142DE" w:rsidP="00504F79">
      <w:pPr>
        <w:widowControl w:val="0"/>
        <w:spacing w:after="0" w:line="240" w:lineRule="auto"/>
        <w:rPr>
          <w:rFonts w:ascii="Arial" w:hAnsi="Arial" w:cs="Arial"/>
          <w:b/>
          <w:sz w:val="36"/>
          <w:szCs w:val="28"/>
        </w:rPr>
      </w:pPr>
    </w:p>
    <w:p w14:paraId="3B9F1DD9" w14:textId="77777777" w:rsidR="003142DE" w:rsidRDefault="003142DE" w:rsidP="00504F79">
      <w:pPr>
        <w:widowControl w:val="0"/>
        <w:spacing w:after="0" w:line="240" w:lineRule="auto"/>
        <w:rPr>
          <w:rFonts w:ascii="Arial" w:hAnsi="Arial" w:cs="Arial"/>
          <w:b/>
          <w:sz w:val="36"/>
          <w:szCs w:val="28"/>
        </w:rPr>
      </w:pPr>
    </w:p>
    <w:p w14:paraId="6248E8F1" w14:textId="77777777" w:rsidR="003142DE" w:rsidRDefault="003142DE" w:rsidP="00504F79">
      <w:pPr>
        <w:widowControl w:val="0"/>
        <w:spacing w:after="0" w:line="240" w:lineRule="auto"/>
        <w:rPr>
          <w:rFonts w:ascii="Arial" w:hAnsi="Arial" w:cs="Arial"/>
          <w:b/>
          <w:sz w:val="36"/>
          <w:szCs w:val="28"/>
        </w:rPr>
      </w:pPr>
    </w:p>
    <w:p w14:paraId="221D60F6" w14:textId="77777777" w:rsidR="003142DE" w:rsidRPr="003C0DD2" w:rsidRDefault="003142DE" w:rsidP="00504F79">
      <w:pPr>
        <w:widowControl w:val="0"/>
        <w:spacing w:after="0" w:line="240" w:lineRule="auto"/>
        <w:rPr>
          <w:rFonts w:ascii="Arial" w:hAnsi="Arial" w:cs="Arial"/>
          <w:b/>
          <w:sz w:val="36"/>
          <w:szCs w:val="28"/>
        </w:rPr>
      </w:pPr>
    </w:p>
    <w:p w14:paraId="01F0D47A" w14:textId="77777777" w:rsidR="00813052" w:rsidRPr="009341EE" w:rsidRDefault="00813052" w:rsidP="00504F79">
      <w:pPr>
        <w:widowControl w:val="0"/>
        <w:spacing w:after="0" w:line="240" w:lineRule="auto"/>
        <w:jc w:val="center"/>
        <w:rPr>
          <w:rFonts w:ascii="Arial" w:hAnsi="Arial" w:cs="Arial"/>
          <w:b/>
          <w:sz w:val="36"/>
          <w:szCs w:val="28"/>
          <w:lang w:val="en-US"/>
        </w:rPr>
      </w:pPr>
      <w:r w:rsidRPr="009341EE">
        <w:rPr>
          <w:rFonts w:ascii="Arial" w:hAnsi="Arial" w:cs="Arial"/>
          <w:b/>
          <w:sz w:val="36"/>
          <w:szCs w:val="28"/>
          <w:lang w:val="en-US"/>
        </w:rPr>
        <w:t>P R O P O S I C I Ó N</w:t>
      </w:r>
    </w:p>
    <w:p w14:paraId="0F140665" w14:textId="77777777" w:rsidR="00813052" w:rsidRPr="009341EE" w:rsidRDefault="00813052" w:rsidP="00813052">
      <w:pPr>
        <w:spacing w:after="0" w:line="240" w:lineRule="auto"/>
        <w:jc w:val="both"/>
        <w:rPr>
          <w:rFonts w:ascii="Arial" w:hAnsi="Arial" w:cs="Arial"/>
          <w:sz w:val="28"/>
          <w:szCs w:val="28"/>
          <w:lang w:val="en-US"/>
        </w:rPr>
      </w:pPr>
    </w:p>
    <w:p w14:paraId="0E45FB68" w14:textId="77777777" w:rsidR="00813052" w:rsidRPr="009341EE" w:rsidRDefault="00813052" w:rsidP="00813052">
      <w:pPr>
        <w:spacing w:after="0" w:line="240" w:lineRule="auto"/>
        <w:jc w:val="both"/>
        <w:rPr>
          <w:rFonts w:ascii="Arial" w:hAnsi="Arial" w:cs="Arial"/>
          <w:sz w:val="28"/>
          <w:szCs w:val="28"/>
          <w:lang w:val="en-US"/>
        </w:rPr>
      </w:pPr>
    </w:p>
    <w:p w14:paraId="2DCA7D6E" w14:textId="1FE42B28" w:rsidR="00813052" w:rsidRPr="00504F79" w:rsidRDefault="00813052" w:rsidP="00813052">
      <w:pPr>
        <w:jc w:val="both"/>
        <w:rPr>
          <w:rFonts w:ascii="Arial" w:hAnsi="Arial" w:cs="Arial"/>
          <w:sz w:val="28"/>
          <w:szCs w:val="28"/>
        </w:rPr>
      </w:pPr>
      <w:r w:rsidRPr="00504F79">
        <w:rPr>
          <w:rFonts w:ascii="Arial" w:hAnsi="Arial" w:cs="Arial"/>
          <w:sz w:val="28"/>
          <w:szCs w:val="28"/>
        </w:rPr>
        <w:t xml:space="preserve">Por las anteriores consideraciones, solicito a la Comisión Primera de la Honorable Cámara de representantes dar primer debate al </w:t>
      </w:r>
      <w:r w:rsidRPr="00504F79">
        <w:rPr>
          <w:rFonts w:ascii="Arial" w:hAnsi="Arial" w:cs="Arial"/>
          <w:b/>
          <w:i/>
          <w:sz w:val="28"/>
          <w:szCs w:val="28"/>
        </w:rPr>
        <w:t xml:space="preserve">Proyecto de Ley </w:t>
      </w:r>
      <w:r w:rsidR="0021326E">
        <w:rPr>
          <w:rFonts w:ascii="Arial" w:hAnsi="Arial" w:cs="Arial"/>
          <w:b/>
          <w:i/>
          <w:sz w:val="28"/>
          <w:szCs w:val="28"/>
        </w:rPr>
        <w:t>Estatutaria No.</w:t>
      </w:r>
      <w:r w:rsidRPr="00504F79">
        <w:rPr>
          <w:rFonts w:ascii="Arial" w:hAnsi="Arial" w:cs="Arial"/>
          <w:b/>
          <w:i/>
          <w:sz w:val="28"/>
          <w:szCs w:val="28"/>
        </w:rPr>
        <w:t xml:space="preserve"> </w:t>
      </w:r>
      <w:r w:rsidR="00504F79">
        <w:rPr>
          <w:rFonts w:ascii="Arial" w:hAnsi="Arial" w:cs="Arial"/>
          <w:b/>
          <w:i/>
          <w:sz w:val="28"/>
          <w:szCs w:val="28"/>
        </w:rPr>
        <w:t>0</w:t>
      </w:r>
      <w:r w:rsidRPr="00504F79">
        <w:rPr>
          <w:rFonts w:ascii="Arial" w:hAnsi="Arial" w:cs="Arial"/>
          <w:b/>
          <w:i/>
          <w:sz w:val="28"/>
          <w:szCs w:val="28"/>
        </w:rPr>
        <w:t>95</w:t>
      </w:r>
      <w:r w:rsidR="0021326E">
        <w:rPr>
          <w:rFonts w:ascii="Arial" w:hAnsi="Arial" w:cs="Arial"/>
          <w:b/>
          <w:i/>
          <w:sz w:val="28"/>
          <w:szCs w:val="28"/>
        </w:rPr>
        <w:t>/</w:t>
      </w:r>
      <w:r w:rsidRPr="00504F79">
        <w:rPr>
          <w:rFonts w:ascii="Arial" w:hAnsi="Arial" w:cs="Arial"/>
          <w:b/>
          <w:i/>
          <w:sz w:val="28"/>
          <w:szCs w:val="28"/>
        </w:rPr>
        <w:t xml:space="preserve">15 </w:t>
      </w:r>
      <w:r w:rsidR="0021326E">
        <w:rPr>
          <w:rFonts w:ascii="Arial" w:hAnsi="Arial" w:cs="Arial"/>
          <w:b/>
          <w:i/>
          <w:sz w:val="28"/>
          <w:szCs w:val="28"/>
        </w:rPr>
        <w:t>–</w:t>
      </w:r>
      <w:r w:rsidRPr="00504F79">
        <w:rPr>
          <w:rFonts w:ascii="Arial" w:hAnsi="Arial" w:cs="Arial"/>
          <w:b/>
          <w:i/>
          <w:sz w:val="28"/>
          <w:szCs w:val="28"/>
        </w:rPr>
        <w:t>Cámara</w:t>
      </w:r>
      <w:r w:rsidR="0021326E">
        <w:rPr>
          <w:rFonts w:ascii="Arial" w:hAnsi="Arial" w:cs="Arial"/>
          <w:b/>
          <w:i/>
          <w:sz w:val="28"/>
          <w:szCs w:val="28"/>
        </w:rPr>
        <w:t>-</w:t>
      </w:r>
      <w:r w:rsidRPr="00504F79">
        <w:rPr>
          <w:rFonts w:ascii="Arial" w:hAnsi="Arial" w:cs="Arial"/>
          <w:b/>
          <w:i/>
          <w:sz w:val="28"/>
          <w:szCs w:val="28"/>
        </w:rPr>
        <w:t xml:space="preserve"> </w:t>
      </w:r>
      <w:r w:rsidR="00E802DD" w:rsidRPr="00504F79">
        <w:rPr>
          <w:rFonts w:ascii="Arial" w:hAnsi="Arial" w:cs="Arial"/>
          <w:b/>
          <w:i/>
          <w:sz w:val="28"/>
          <w:szCs w:val="28"/>
        </w:rPr>
        <w:t xml:space="preserve"> </w:t>
      </w:r>
      <w:r w:rsidRPr="00504F79">
        <w:rPr>
          <w:rFonts w:ascii="Arial" w:hAnsi="Arial" w:cs="Arial"/>
          <w:sz w:val="28"/>
          <w:szCs w:val="28"/>
        </w:rPr>
        <w:t>“</w:t>
      </w:r>
      <w:r w:rsidR="0021326E">
        <w:rPr>
          <w:rFonts w:ascii="Arial" w:hAnsi="Arial" w:cs="Arial"/>
          <w:sz w:val="28"/>
          <w:szCs w:val="28"/>
        </w:rPr>
        <w:t>P</w:t>
      </w:r>
      <w:r w:rsidRPr="00504F79">
        <w:rPr>
          <w:rFonts w:ascii="Arial" w:hAnsi="Arial" w:cs="Arial"/>
          <w:sz w:val="28"/>
          <w:szCs w:val="28"/>
        </w:rPr>
        <w:t>or medio de la cual se modifica y adiciona la Ley Estatutaria 1266 de 2008, y se dictan disposiciones generales del Hábeas Data con relación a la información financiera, crediticia, comercial, de servicios y la proveniente de terceros países y se dictan otras disposiciones</w:t>
      </w:r>
      <w:r w:rsidRPr="00504F79">
        <w:rPr>
          <w:rFonts w:ascii="Arial" w:hAnsi="Arial" w:cs="Arial"/>
          <w:i/>
          <w:sz w:val="28"/>
          <w:szCs w:val="28"/>
        </w:rPr>
        <w:t>.</w:t>
      </w:r>
      <w:r w:rsidRPr="00504F79">
        <w:rPr>
          <w:rFonts w:ascii="Arial" w:hAnsi="Arial" w:cs="Arial"/>
          <w:sz w:val="28"/>
          <w:szCs w:val="28"/>
        </w:rPr>
        <w:t xml:space="preserve">” </w:t>
      </w:r>
      <w:r w:rsidR="00504F79" w:rsidRPr="00504F79">
        <w:rPr>
          <w:rFonts w:ascii="Arial" w:hAnsi="Arial" w:cs="Arial"/>
          <w:sz w:val="28"/>
          <w:szCs w:val="28"/>
        </w:rPr>
        <w:t>Con base en el texto radicado por el autor.</w:t>
      </w:r>
    </w:p>
    <w:p w14:paraId="4C3AA4B9" w14:textId="77777777" w:rsidR="00813052" w:rsidRPr="009552A0" w:rsidRDefault="00813052" w:rsidP="00813052">
      <w:pPr>
        <w:spacing w:after="0" w:line="240" w:lineRule="auto"/>
        <w:jc w:val="both"/>
        <w:rPr>
          <w:rFonts w:ascii="Arial" w:hAnsi="Arial" w:cs="Arial"/>
          <w:sz w:val="28"/>
          <w:szCs w:val="28"/>
        </w:rPr>
      </w:pPr>
    </w:p>
    <w:p w14:paraId="00CE3D27" w14:textId="77777777" w:rsidR="00813052" w:rsidRPr="009552A0" w:rsidRDefault="00813052" w:rsidP="00813052">
      <w:pPr>
        <w:spacing w:after="0" w:line="240" w:lineRule="auto"/>
        <w:jc w:val="both"/>
        <w:rPr>
          <w:rFonts w:ascii="Arial" w:hAnsi="Arial" w:cs="Arial"/>
          <w:sz w:val="28"/>
          <w:szCs w:val="28"/>
        </w:rPr>
      </w:pPr>
    </w:p>
    <w:p w14:paraId="030CC2E2" w14:textId="77777777" w:rsidR="00813052" w:rsidRPr="009552A0" w:rsidRDefault="00813052" w:rsidP="00813052">
      <w:pPr>
        <w:spacing w:after="0" w:line="240" w:lineRule="auto"/>
        <w:jc w:val="both"/>
        <w:rPr>
          <w:rFonts w:ascii="Arial" w:hAnsi="Arial" w:cs="Arial"/>
          <w:sz w:val="28"/>
          <w:szCs w:val="28"/>
        </w:rPr>
      </w:pPr>
    </w:p>
    <w:p w14:paraId="1B9D170C" w14:textId="77777777" w:rsidR="00813052" w:rsidRPr="009552A0" w:rsidRDefault="00813052" w:rsidP="00813052">
      <w:pPr>
        <w:spacing w:after="0" w:line="240" w:lineRule="auto"/>
        <w:jc w:val="both"/>
        <w:rPr>
          <w:rFonts w:ascii="Arial" w:hAnsi="Arial" w:cs="Arial"/>
          <w:sz w:val="28"/>
          <w:szCs w:val="28"/>
        </w:rPr>
      </w:pPr>
    </w:p>
    <w:p w14:paraId="7489D626" w14:textId="77777777" w:rsidR="00813052" w:rsidRDefault="00813052" w:rsidP="00813052">
      <w:pPr>
        <w:spacing w:after="0" w:line="240" w:lineRule="auto"/>
        <w:jc w:val="both"/>
        <w:rPr>
          <w:rFonts w:ascii="Arial" w:hAnsi="Arial" w:cs="Arial"/>
          <w:sz w:val="28"/>
          <w:szCs w:val="28"/>
        </w:rPr>
      </w:pPr>
    </w:p>
    <w:p w14:paraId="66E9567E" w14:textId="77777777" w:rsidR="00813052" w:rsidRPr="009552A0" w:rsidRDefault="00813052" w:rsidP="00813052">
      <w:pPr>
        <w:spacing w:after="0" w:line="240" w:lineRule="auto"/>
        <w:jc w:val="both"/>
        <w:rPr>
          <w:rFonts w:ascii="Arial" w:hAnsi="Arial" w:cs="Arial"/>
          <w:sz w:val="28"/>
          <w:szCs w:val="28"/>
        </w:rPr>
      </w:pPr>
    </w:p>
    <w:p w14:paraId="20A80A8C" w14:textId="77777777" w:rsidR="00813052" w:rsidRDefault="00813052" w:rsidP="00813052">
      <w:pPr>
        <w:spacing w:after="0" w:line="240" w:lineRule="auto"/>
        <w:jc w:val="both"/>
        <w:rPr>
          <w:rFonts w:ascii="Arial" w:hAnsi="Arial" w:cs="Arial"/>
          <w:b/>
          <w:sz w:val="28"/>
          <w:szCs w:val="28"/>
        </w:rPr>
      </w:pPr>
    </w:p>
    <w:p w14:paraId="69A9707A" w14:textId="10E8BD36" w:rsidR="00813052" w:rsidRPr="009552A0" w:rsidRDefault="009341EE" w:rsidP="00813052">
      <w:pPr>
        <w:spacing w:after="0" w:line="240" w:lineRule="auto"/>
        <w:jc w:val="center"/>
        <w:rPr>
          <w:rFonts w:ascii="Arial" w:hAnsi="Arial" w:cs="Arial"/>
          <w:b/>
          <w:sz w:val="28"/>
          <w:szCs w:val="28"/>
        </w:rPr>
      </w:pPr>
      <w:r>
        <w:rPr>
          <w:rFonts w:ascii="Arial" w:hAnsi="Arial" w:cs="Arial"/>
          <w:b/>
          <w:sz w:val="28"/>
          <w:szCs w:val="28"/>
        </w:rPr>
        <w:t>Julián Bedoya Pulgarín</w:t>
      </w:r>
    </w:p>
    <w:p w14:paraId="244CED6F" w14:textId="77777777" w:rsidR="00813052" w:rsidRDefault="00813052" w:rsidP="00813052">
      <w:pPr>
        <w:spacing w:after="0" w:line="240" w:lineRule="auto"/>
        <w:jc w:val="center"/>
        <w:rPr>
          <w:rFonts w:ascii="Arial" w:hAnsi="Arial" w:cs="Arial"/>
          <w:sz w:val="28"/>
          <w:szCs w:val="28"/>
        </w:rPr>
      </w:pPr>
      <w:r w:rsidRPr="009552A0">
        <w:rPr>
          <w:rFonts w:ascii="Arial" w:hAnsi="Arial" w:cs="Arial"/>
          <w:sz w:val="28"/>
          <w:szCs w:val="28"/>
        </w:rPr>
        <w:t>Ponente</w:t>
      </w:r>
    </w:p>
    <w:p w14:paraId="2BCEAD84" w14:textId="77777777" w:rsidR="00A74159" w:rsidRDefault="00A74159" w:rsidP="00A74159">
      <w:pPr>
        <w:ind w:right="284"/>
        <w:jc w:val="both"/>
        <w:rPr>
          <w:rFonts w:ascii="Arial" w:hAnsi="Arial" w:cs="Arial"/>
          <w:sz w:val="24"/>
          <w:szCs w:val="24"/>
        </w:rPr>
      </w:pPr>
    </w:p>
    <w:p w14:paraId="4FCD0EB4" w14:textId="77777777" w:rsidR="00813052" w:rsidRDefault="00813052" w:rsidP="00A74159">
      <w:pPr>
        <w:ind w:right="284"/>
        <w:jc w:val="both"/>
        <w:rPr>
          <w:rFonts w:ascii="Arial" w:hAnsi="Arial" w:cs="Arial"/>
          <w:sz w:val="24"/>
          <w:szCs w:val="24"/>
        </w:rPr>
      </w:pPr>
    </w:p>
    <w:p w14:paraId="08B9F79F" w14:textId="77777777" w:rsidR="00813052" w:rsidRDefault="00813052" w:rsidP="00A74159">
      <w:pPr>
        <w:ind w:right="284"/>
        <w:jc w:val="both"/>
        <w:rPr>
          <w:rFonts w:ascii="Arial" w:hAnsi="Arial" w:cs="Arial"/>
          <w:sz w:val="24"/>
          <w:szCs w:val="24"/>
        </w:rPr>
      </w:pPr>
    </w:p>
    <w:p w14:paraId="4BAF8447" w14:textId="77777777" w:rsidR="009341EE" w:rsidRDefault="009341EE" w:rsidP="009341EE">
      <w:pPr>
        <w:spacing w:after="0" w:line="240" w:lineRule="auto"/>
        <w:rPr>
          <w:rFonts w:ascii="Arial" w:hAnsi="Arial" w:cs="Arial"/>
          <w:sz w:val="24"/>
          <w:szCs w:val="24"/>
        </w:rPr>
      </w:pPr>
    </w:p>
    <w:p w14:paraId="27727275" w14:textId="77777777" w:rsidR="009341EE" w:rsidRDefault="009341EE" w:rsidP="009341EE">
      <w:pPr>
        <w:spacing w:after="0" w:line="240" w:lineRule="auto"/>
        <w:rPr>
          <w:rFonts w:ascii="Arial" w:hAnsi="Arial" w:cs="Arial"/>
          <w:sz w:val="24"/>
          <w:szCs w:val="24"/>
        </w:rPr>
      </w:pPr>
    </w:p>
    <w:p w14:paraId="62023A16" w14:textId="77777777" w:rsidR="003E6C48" w:rsidRDefault="003E6C48" w:rsidP="009341EE">
      <w:pPr>
        <w:spacing w:after="0" w:line="240" w:lineRule="auto"/>
        <w:rPr>
          <w:rFonts w:ascii="Arial" w:hAnsi="Arial" w:cs="Arial"/>
          <w:sz w:val="24"/>
          <w:szCs w:val="24"/>
        </w:rPr>
      </w:pPr>
    </w:p>
    <w:p w14:paraId="455AACF1" w14:textId="3C90C0BB" w:rsidR="00813052" w:rsidRDefault="0021326E" w:rsidP="0021326E">
      <w:pPr>
        <w:spacing w:after="0" w:line="240" w:lineRule="auto"/>
        <w:jc w:val="center"/>
        <w:rPr>
          <w:rFonts w:ascii="Arial" w:hAnsi="Arial" w:cs="Arial"/>
          <w:b/>
          <w:sz w:val="24"/>
          <w:szCs w:val="24"/>
        </w:rPr>
      </w:pPr>
      <w:r>
        <w:rPr>
          <w:rFonts w:ascii="Arial" w:hAnsi="Arial" w:cs="Arial"/>
          <w:b/>
          <w:sz w:val="24"/>
          <w:szCs w:val="24"/>
        </w:rPr>
        <w:t xml:space="preserve">TEXTO PROPUESTO PARA PRIMER DEBATE DEL PROYECTO </w:t>
      </w:r>
      <w:r w:rsidR="00813052">
        <w:rPr>
          <w:rFonts w:ascii="Arial" w:hAnsi="Arial" w:cs="Arial"/>
          <w:b/>
          <w:sz w:val="24"/>
          <w:szCs w:val="24"/>
        </w:rPr>
        <w:t xml:space="preserve">DE LEY </w:t>
      </w:r>
      <w:r>
        <w:rPr>
          <w:rFonts w:ascii="Arial" w:hAnsi="Arial" w:cs="Arial"/>
          <w:b/>
          <w:sz w:val="24"/>
          <w:szCs w:val="24"/>
        </w:rPr>
        <w:t xml:space="preserve">ESTATUTARIA </w:t>
      </w:r>
      <w:r w:rsidR="00813052">
        <w:rPr>
          <w:rFonts w:ascii="Arial" w:hAnsi="Arial" w:cs="Arial"/>
          <w:b/>
          <w:sz w:val="24"/>
          <w:szCs w:val="24"/>
        </w:rPr>
        <w:t>N</w:t>
      </w:r>
      <w:r>
        <w:rPr>
          <w:rFonts w:ascii="Arial" w:hAnsi="Arial" w:cs="Arial"/>
          <w:b/>
          <w:sz w:val="24"/>
          <w:szCs w:val="24"/>
        </w:rPr>
        <w:t xml:space="preserve">o. </w:t>
      </w:r>
      <w:r w:rsidR="00813052">
        <w:rPr>
          <w:rFonts w:ascii="Arial" w:hAnsi="Arial" w:cs="Arial"/>
          <w:b/>
          <w:sz w:val="24"/>
          <w:szCs w:val="24"/>
        </w:rPr>
        <w:t xml:space="preserve"> 095</w:t>
      </w:r>
      <w:r>
        <w:rPr>
          <w:rFonts w:ascii="Arial" w:hAnsi="Arial" w:cs="Arial"/>
          <w:b/>
          <w:sz w:val="24"/>
          <w:szCs w:val="24"/>
        </w:rPr>
        <w:t>/</w:t>
      </w:r>
      <w:r w:rsidR="00813052">
        <w:rPr>
          <w:rFonts w:ascii="Arial" w:hAnsi="Arial" w:cs="Arial"/>
          <w:b/>
          <w:sz w:val="24"/>
          <w:szCs w:val="24"/>
        </w:rPr>
        <w:t>15</w:t>
      </w:r>
      <w:r>
        <w:rPr>
          <w:rFonts w:ascii="Arial" w:hAnsi="Arial" w:cs="Arial"/>
          <w:b/>
          <w:sz w:val="24"/>
          <w:szCs w:val="24"/>
        </w:rPr>
        <w:t>-</w:t>
      </w:r>
      <w:r w:rsidR="00813052">
        <w:rPr>
          <w:rFonts w:ascii="Arial" w:hAnsi="Arial" w:cs="Arial"/>
          <w:b/>
          <w:sz w:val="24"/>
          <w:szCs w:val="24"/>
        </w:rPr>
        <w:t>CÁMARA</w:t>
      </w:r>
      <w:r>
        <w:rPr>
          <w:rFonts w:ascii="Arial" w:hAnsi="Arial" w:cs="Arial"/>
          <w:b/>
          <w:sz w:val="24"/>
          <w:szCs w:val="24"/>
        </w:rPr>
        <w:t xml:space="preserve">-.  </w:t>
      </w:r>
      <w:r w:rsidR="009341EE">
        <w:rPr>
          <w:rFonts w:ascii="Arial" w:hAnsi="Arial" w:cs="Arial"/>
          <w:b/>
          <w:sz w:val="24"/>
          <w:szCs w:val="24"/>
        </w:rPr>
        <w:t>“</w:t>
      </w:r>
      <w:r w:rsidR="009442AD" w:rsidRPr="009442AD">
        <w:rPr>
          <w:rFonts w:ascii="Arial" w:hAnsi="Arial" w:cs="Arial"/>
          <w:b/>
          <w:sz w:val="24"/>
          <w:szCs w:val="24"/>
        </w:rPr>
        <w:t>POR MEDIO DEL CUAL SE MODIFICA Y ADICIONA LA LEY ESTATUTARIA 1266 DE 2008, Y SE DICTAN DISPOSICIONES GENERALES DEL HÁBEAS DATA CON RELACIÓN A LA INFORMACIÓN FINANCIERA, CREDITICIA, COMERCIAL, DE SERVICIOS Y LA PROVENIENTE DE TERCEROS PAÍSES  Y SE DICTAN OTRAS DISPOSICIONES</w:t>
      </w:r>
      <w:r w:rsidR="009341EE">
        <w:rPr>
          <w:rFonts w:ascii="Arial" w:hAnsi="Arial" w:cs="Arial"/>
          <w:b/>
          <w:sz w:val="24"/>
          <w:szCs w:val="24"/>
        </w:rPr>
        <w:t>”</w:t>
      </w:r>
    </w:p>
    <w:p w14:paraId="183EA099" w14:textId="77777777" w:rsidR="0021326E" w:rsidRPr="009442AD" w:rsidRDefault="0021326E" w:rsidP="0021326E">
      <w:pPr>
        <w:spacing w:after="0" w:line="240" w:lineRule="auto"/>
        <w:jc w:val="center"/>
        <w:rPr>
          <w:rFonts w:ascii="Arial" w:hAnsi="Arial" w:cs="Arial"/>
          <w:b/>
          <w:sz w:val="24"/>
          <w:szCs w:val="24"/>
        </w:rPr>
      </w:pPr>
    </w:p>
    <w:p w14:paraId="77C2ABC2" w14:textId="3ACF494E" w:rsidR="00813052" w:rsidRDefault="009442AD" w:rsidP="00813052">
      <w:pPr>
        <w:jc w:val="center"/>
        <w:rPr>
          <w:rFonts w:ascii="Arial" w:hAnsi="Arial" w:cs="Arial"/>
          <w:b/>
          <w:sz w:val="24"/>
          <w:szCs w:val="24"/>
        </w:rPr>
      </w:pPr>
      <w:r>
        <w:rPr>
          <w:rFonts w:ascii="Arial" w:hAnsi="Arial" w:cs="Arial"/>
          <w:b/>
          <w:sz w:val="24"/>
          <w:szCs w:val="24"/>
        </w:rPr>
        <w:t>EL CONGRESO DE COLOMBIA</w:t>
      </w:r>
    </w:p>
    <w:p w14:paraId="0562CFEC" w14:textId="3D3C147F" w:rsidR="009442AD" w:rsidRPr="009442AD" w:rsidRDefault="009442AD" w:rsidP="00813052">
      <w:pPr>
        <w:jc w:val="center"/>
        <w:rPr>
          <w:rFonts w:ascii="Arial" w:hAnsi="Arial" w:cs="Arial"/>
          <w:b/>
          <w:sz w:val="24"/>
          <w:szCs w:val="24"/>
        </w:rPr>
      </w:pPr>
      <w:r>
        <w:rPr>
          <w:rFonts w:ascii="Arial" w:hAnsi="Arial" w:cs="Arial"/>
          <w:b/>
          <w:sz w:val="24"/>
          <w:szCs w:val="24"/>
        </w:rPr>
        <w:t>DECRETA:</w:t>
      </w:r>
    </w:p>
    <w:p w14:paraId="02442DA3" w14:textId="79D49BA2" w:rsidR="00813052" w:rsidRPr="00F23928" w:rsidRDefault="00813052" w:rsidP="00813052">
      <w:pPr>
        <w:jc w:val="both"/>
        <w:rPr>
          <w:rFonts w:ascii="Arial" w:hAnsi="Arial" w:cs="Arial"/>
          <w:sz w:val="24"/>
          <w:szCs w:val="24"/>
        </w:rPr>
      </w:pPr>
      <w:r w:rsidRPr="00F23928">
        <w:rPr>
          <w:rFonts w:ascii="Arial" w:hAnsi="Arial" w:cs="Arial"/>
          <w:b/>
          <w:sz w:val="24"/>
          <w:szCs w:val="24"/>
        </w:rPr>
        <w:t xml:space="preserve">Artículo 1. </w:t>
      </w:r>
      <w:r w:rsidRPr="00F23928">
        <w:rPr>
          <w:rFonts w:ascii="Arial" w:hAnsi="Arial" w:cs="Arial"/>
          <w:sz w:val="24"/>
          <w:szCs w:val="24"/>
        </w:rPr>
        <w:t xml:space="preserve">Objeto: La presente Ley tiene por objeto adicionar la Ley 1266 de 2008, fortaleciendo el derecho a conocer, actualizar y rectificar las informaciones contenidas en bases de datos del sector </w:t>
      </w:r>
      <w:r w:rsidRPr="00F23928">
        <w:rPr>
          <w:rStyle w:val="Textoennegrita"/>
          <w:rFonts w:ascii="Arial" w:hAnsi="Arial" w:cs="Arial"/>
          <w:color w:val="000000"/>
          <w:sz w:val="24"/>
          <w:szCs w:val="24"/>
          <w:shd w:val="clear" w:color="auto" w:fill="FFFFFF"/>
        </w:rPr>
        <w:t>financiero, crediticio, comercial, de servicios y proveniente de terceros países</w:t>
      </w:r>
      <w:r w:rsidRPr="00F23928">
        <w:rPr>
          <w:rStyle w:val="apple-converted-space"/>
          <w:rFonts w:ascii="Arial" w:hAnsi="Arial" w:cs="Arial"/>
          <w:b/>
          <w:bCs/>
          <w:color w:val="000000"/>
          <w:sz w:val="24"/>
          <w:szCs w:val="24"/>
          <w:shd w:val="clear" w:color="auto" w:fill="FFFFFF"/>
        </w:rPr>
        <w:t xml:space="preserve">, </w:t>
      </w:r>
      <w:r w:rsidRPr="00F23928">
        <w:rPr>
          <w:rFonts w:ascii="Arial" w:hAnsi="Arial" w:cs="Arial"/>
          <w:sz w:val="24"/>
          <w:szCs w:val="24"/>
        </w:rPr>
        <w:t xml:space="preserve">desarrollando el Articulo 15 de la Constitución Política, </w:t>
      </w:r>
      <w:r w:rsidR="00D922F8">
        <w:rPr>
          <w:rFonts w:ascii="Arial" w:hAnsi="Arial" w:cs="Arial"/>
          <w:sz w:val="24"/>
          <w:szCs w:val="24"/>
        </w:rPr>
        <w:t>los derechos fundamentales al Há</w:t>
      </w:r>
      <w:r w:rsidRPr="00F23928">
        <w:rPr>
          <w:rFonts w:ascii="Arial" w:hAnsi="Arial" w:cs="Arial"/>
          <w:sz w:val="24"/>
          <w:szCs w:val="24"/>
        </w:rPr>
        <w:t>beas Data y la Auto Determinación Informática de manera sectorial, además brinda mayores herramientas para la protección de los mencionados derechos.</w:t>
      </w:r>
    </w:p>
    <w:p w14:paraId="0C9778F2" w14:textId="77777777" w:rsidR="00813052" w:rsidRPr="00F23928" w:rsidRDefault="00813052" w:rsidP="00813052">
      <w:pPr>
        <w:jc w:val="both"/>
        <w:rPr>
          <w:rFonts w:ascii="Arial" w:hAnsi="Arial" w:cs="Arial"/>
          <w:sz w:val="24"/>
          <w:szCs w:val="24"/>
        </w:rPr>
      </w:pPr>
      <w:r w:rsidRPr="00F23928">
        <w:rPr>
          <w:rFonts w:ascii="Arial" w:hAnsi="Arial" w:cs="Arial"/>
          <w:b/>
          <w:sz w:val="24"/>
          <w:szCs w:val="24"/>
        </w:rPr>
        <w:t>Artículo 2</w:t>
      </w:r>
      <w:r w:rsidRPr="00F23928">
        <w:rPr>
          <w:rFonts w:ascii="Arial" w:hAnsi="Arial" w:cs="Arial"/>
          <w:sz w:val="24"/>
          <w:szCs w:val="24"/>
        </w:rPr>
        <w:t xml:space="preserve">: Modifíquese y Adiciónese tres parágrafos al Artículo 13 de la ley 1266 de 2008 que quedará así: </w:t>
      </w:r>
    </w:p>
    <w:p w14:paraId="2A078E45" w14:textId="77777777" w:rsidR="00813052" w:rsidRPr="00F23928" w:rsidRDefault="00813052" w:rsidP="00813052">
      <w:pPr>
        <w:jc w:val="both"/>
        <w:rPr>
          <w:rFonts w:ascii="Arial" w:hAnsi="Arial" w:cs="Arial"/>
          <w:sz w:val="24"/>
          <w:szCs w:val="24"/>
        </w:rPr>
      </w:pPr>
      <w:r w:rsidRPr="00F23928">
        <w:rPr>
          <w:rFonts w:ascii="Arial" w:hAnsi="Arial" w:cs="Arial"/>
          <w:b/>
          <w:sz w:val="24"/>
          <w:szCs w:val="24"/>
        </w:rPr>
        <w:t>Artículo 13.</w:t>
      </w:r>
      <w:r w:rsidRPr="00F23928">
        <w:rPr>
          <w:rFonts w:ascii="Arial" w:hAnsi="Arial" w:cs="Arial"/>
          <w:sz w:val="24"/>
          <w:szCs w:val="24"/>
        </w:rPr>
        <w:t xml:space="preserve"> Permanencia de la información. La información de carácter positivo permanecerá de manera indefinida en los Bancos de Datos de los operadores de información. Los datos cuyo contenido haga referencia al tiempo de mora, tipo de cobro, estado de la cartera, y en general aquellos datos referentes a una situación de incumplimiento de obligaciones, se regirán por un término máximo de permanecía, vencido el cual deberá ser retirada de los Bancos de Datos por el operador, de forma que los usuarios no puedan acceder a consultar dicha información. El término de permanencia de esta información será igual al tiempo de mora, máximo dos (2)</w:t>
      </w:r>
      <w:r w:rsidRPr="00F23928">
        <w:rPr>
          <w:rFonts w:ascii="Arial" w:hAnsi="Arial" w:cs="Arial"/>
          <w:b/>
          <w:sz w:val="24"/>
          <w:szCs w:val="24"/>
        </w:rPr>
        <w:t xml:space="preserve"> </w:t>
      </w:r>
      <w:r w:rsidRPr="00F23928">
        <w:rPr>
          <w:rFonts w:ascii="Arial" w:hAnsi="Arial" w:cs="Arial"/>
          <w:sz w:val="24"/>
          <w:szCs w:val="24"/>
        </w:rPr>
        <w:t>años contados a partir de la fecha en que sean pagadas las cuotas vencidas o sea extinguida</w:t>
      </w:r>
      <w:r w:rsidRPr="00F23928">
        <w:rPr>
          <w:rFonts w:ascii="Arial" w:hAnsi="Arial" w:cs="Arial"/>
          <w:b/>
          <w:sz w:val="24"/>
          <w:szCs w:val="24"/>
        </w:rPr>
        <w:t xml:space="preserve"> </w:t>
      </w:r>
      <w:r w:rsidRPr="00F23928">
        <w:rPr>
          <w:rFonts w:ascii="Arial" w:hAnsi="Arial" w:cs="Arial"/>
          <w:sz w:val="24"/>
          <w:szCs w:val="24"/>
        </w:rPr>
        <w:t xml:space="preserve">la obligación.  </w:t>
      </w:r>
    </w:p>
    <w:p w14:paraId="7EE9B9EE" w14:textId="77777777" w:rsidR="00813052" w:rsidRPr="00F23928" w:rsidRDefault="00813052" w:rsidP="00813052">
      <w:pPr>
        <w:jc w:val="both"/>
        <w:rPr>
          <w:rFonts w:ascii="Arial" w:hAnsi="Arial" w:cs="Arial"/>
          <w:sz w:val="24"/>
          <w:szCs w:val="24"/>
        </w:rPr>
      </w:pPr>
      <w:r w:rsidRPr="00F23928">
        <w:rPr>
          <w:rFonts w:ascii="Arial" w:hAnsi="Arial" w:cs="Arial"/>
          <w:b/>
          <w:sz w:val="24"/>
          <w:szCs w:val="24"/>
        </w:rPr>
        <w:t>Parágrafo 1:</w:t>
      </w:r>
      <w:r w:rsidRPr="00F23928">
        <w:rPr>
          <w:rFonts w:ascii="Arial" w:hAnsi="Arial" w:cs="Arial"/>
          <w:sz w:val="24"/>
          <w:szCs w:val="24"/>
        </w:rPr>
        <w:t xml:space="preserve"> Cuando la obligación este en mora, el dato negativo y los datos cuyo contenido haga referencia al tiempo de mora, tipo de cobro, estado de la cartera, y </w:t>
      </w:r>
      <w:r w:rsidRPr="00F23928">
        <w:rPr>
          <w:rFonts w:ascii="Arial" w:hAnsi="Arial" w:cs="Arial"/>
          <w:sz w:val="24"/>
          <w:szCs w:val="24"/>
        </w:rPr>
        <w:lastRenderedPageBreak/>
        <w:t>en general aquellos datos referentes a una situación de incumplimiento de obligaciones, caducaran un vez cumplido el término de cinco (5) años de la prescripción de la acción ejecutiva establecidos en el artículo 2536 del Código Civil, contados a partir del momento en que se hace exigible la obligación.</w:t>
      </w:r>
    </w:p>
    <w:p w14:paraId="678EDE5A" w14:textId="77777777" w:rsidR="00813052" w:rsidRPr="00F23928" w:rsidRDefault="00813052" w:rsidP="00813052">
      <w:pPr>
        <w:jc w:val="both"/>
        <w:rPr>
          <w:rFonts w:ascii="Arial" w:hAnsi="Arial" w:cs="Arial"/>
          <w:sz w:val="24"/>
          <w:szCs w:val="24"/>
        </w:rPr>
      </w:pPr>
      <w:r w:rsidRPr="00F23928">
        <w:rPr>
          <w:rFonts w:ascii="Arial" w:hAnsi="Arial" w:cs="Arial"/>
          <w:b/>
          <w:sz w:val="24"/>
          <w:szCs w:val="24"/>
        </w:rPr>
        <w:t>Parágrafo 2:</w:t>
      </w:r>
      <w:r w:rsidRPr="00F23928">
        <w:rPr>
          <w:rFonts w:ascii="Arial" w:hAnsi="Arial" w:cs="Arial"/>
          <w:sz w:val="24"/>
          <w:szCs w:val="24"/>
        </w:rPr>
        <w:t xml:space="preserve"> En las obligaciones inferiores a un (1) salario mínimo legal mensual vigente, el dato negativo será suprimido de inmediato una vez sea extinguida la obligación.</w:t>
      </w:r>
    </w:p>
    <w:p w14:paraId="6EF500BA" w14:textId="77777777" w:rsidR="00813052" w:rsidRPr="00F23928" w:rsidRDefault="00813052" w:rsidP="00813052">
      <w:pPr>
        <w:jc w:val="both"/>
        <w:rPr>
          <w:rFonts w:ascii="Arial" w:hAnsi="Arial" w:cs="Arial"/>
          <w:sz w:val="24"/>
          <w:szCs w:val="24"/>
        </w:rPr>
      </w:pPr>
      <w:r w:rsidRPr="00F23928">
        <w:rPr>
          <w:rFonts w:ascii="Arial" w:hAnsi="Arial" w:cs="Arial"/>
          <w:b/>
          <w:sz w:val="24"/>
          <w:szCs w:val="24"/>
        </w:rPr>
        <w:t xml:space="preserve">Parágrafo 3: </w:t>
      </w:r>
      <w:r w:rsidRPr="00F23928">
        <w:rPr>
          <w:rFonts w:ascii="Arial" w:hAnsi="Arial" w:cs="Arial"/>
          <w:sz w:val="24"/>
          <w:szCs w:val="24"/>
        </w:rPr>
        <w:t xml:space="preserve">Toda información negativa o desfavorable que se encuentre en bases de datos y se relacione con calificaciones, record </w:t>
      </w:r>
      <w:r w:rsidRPr="00F23928">
        <w:rPr>
          <w:rFonts w:ascii="Arial" w:hAnsi="Arial" w:cs="Arial"/>
          <w:i/>
          <w:sz w:val="24"/>
          <w:szCs w:val="24"/>
        </w:rPr>
        <w:t>(scorings-escort) o cualquier</w:t>
      </w:r>
      <w:r w:rsidRPr="00F23928">
        <w:rPr>
          <w:rFonts w:ascii="Arial" w:hAnsi="Arial" w:cs="Arial"/>
          <w:sz w:val="24"/>
          <w:szCs w:val="24"/>
        </w:rPr>
        <w:t xml:space="preserve"> tipo de medición financiera, comercial o crediticia, deberá ser actualizada quedando en nivel de riesgo normal de manera simultánea con el retiro del dato negativo o con la cesación del hecho que generó la disminución de la medición.</w:t>
      </w:r>
    </w:p>
    <w:p w14:paraId="4829DE33" w14:textId="77777777" w:rsidR="00813052" w:rsidRPr="00F23928" w:rsidRDefault="00813052" w:rsidP="00813052">
      <w:pPr>
        <w:jc w:val="both"/>
        <w:rPr>
          <w:rFonts w:ascii="Arial" w:hAnsi="Arial" w:cs="Arial"/>
          <w:sz w:val="24"/>
          <w:szCs w:val="24"/>
        </w:rPr>
      </w:pPr>
      <w:r w:rsidRPr="00F23928">
        <w:rPr>
          <w:rFonts w:ascii="Arial" w:hAnsi="Arial" w:cs="Arial"/>
          <w:b/>
          <w:sz w:val="24"/>
          <w:szCs w:val="24"/>
        </w:rPr>
        <w:t>Artículo 3</w:t>
      </w:r>
      <w:r w:rsidRPr="00F23928">
        <w:rPr>
          <w:rFonts w:ascii="Arial" w:hAnsi="Arial" w:cs="Arial"/>
          <w:sz w:val="24"/>
          <w:szCs w:val="24"/>
        </w:rPr>
        <w:t xml:space="preserve">: Adiciónese el numeral 11 al Artículo 8 de la ley 1266 de 2008, el cual quedará así: </w:t>
      </w:r>
    </w:p>
    <w:p w14:paraId="093E2379" w14:textId="77777777" w:rsidR="00813052" w:rsidRPr="00F23928" w:rsidRDefault="00813052" w:rsidP="00813052">
      <w:pPr>
        <w:jc w:val="both"/>
        <w:rPr>
          <w:rFonts w:ascii="Arial" w:hAnsi="Arial" w:cs="Arial"/>
          <w:sz w:val="24"/>
          <w:szCs w:val="24"/>
        </w:rPr>
      </w:pPr>
      <w:r w:rsidRPr="00F23928">
        <w:rPr>
          <w:rFonts w:ascii="Arial" w:hAnsi="Arial" w:cs="Arial"/>
          <w:sz w:val="24"/>
          <w:szCs w:val="24"/>
        </w:rPr>
        <w:t>11. Reportar la información negativa de los titulares, máximo (2) años después de hacerse exigible la obligación.</w:t>
      </w:r>
    </w:p>
    <w:p w14:paraId="2FE37D60" w14:textId="77777777" w:rsidR="00813052" w:rsidRPr="00F23928" w:rsidRDefault="00813052" w:rsidP="00813052">
      <w:pPr>
        <w:jc w:val="both"/>
        <w:rPr>
          <w:rFonts w:ascii="Arial" w:hAnsi="Arial" w:cs="Arial"/>
          <w:sz w:val="24"/>
          <w:szCs w:val="24"/>
        </w:rPr>
      </w:pPr>
      <w:r w:rsidRPr="00F23928">
        <w:rPr>
          <w:rFonts w:ascii="Arial" w:hAnsi="Arial" w:cs="Arial"/>
          <w:b/>
          <w:sz w:val="24"/>
          <w:szCs w:val="24"/>
        </w:rPr>
        <w:t>Artículo 4</w:t>
      </w:r>
      <w:r w:rsidRPr="00F23928">
        <w:rPr>
          <w:rFonts w:ascii="Arial" w:hAnsi="Arial" w:cs="Arial"/>
          <w:sz w:val="24"/>
          <w:szCs w:val="24"/>
        </w:rPr>
        <w:t xml:space="preserve">: Adiciónese el Numeral 6 al Artículo 9 de la ley 1266 de 2008, el cual quedará así: </w:t>
      </w:r>
    </w:p>
    <w:p w14:paraId="454D89FE" w14:textId="77777777" w:rsidR="00813052" w:rsidRPr="00F23928" w:rsidRDefault="00813052" w:rsidP="00813052">
      <w:pPr>
        <w:jc w:val="both"/>
        <w:rPr>
          <w:rFonts w:ascii="Arial" w:hAnsi="Arial" w:cs="Arial"/>
          <w:sz w:val="24"/>
          <w:szCs w:val="24"/>
        </w:rPr>
      </w:pPr>
      <w:r w:rsidRPr="00F23928">
        <w:rPr>
          <w:rFonts w:ascii="Arial" w:hAnsi="Arial" w:cs="Arial"/>
          <w:sz w:val="24"/>
          <w:szCs w:val="24"/>
        </w:rPr>
        <w:t xml:space="preserve">4. Solo se podrá acceder a la información contenida en las Centrales de Riesgo para los fines permitidos por la Ley y para el estudio de riesgo financiero, crediticio o comercial, la revisión continua de esta información no podrá ser causal de </w:t>
      </w:r>
      <w:bookmarkStart w:id="1" w:name="OLE_LINK3"/>
      <w:bookmarkStart w:id="2" w:name="OLE_LINK4"/>
      <w:r w:rsidRPr="00F23928">
        <w:rPr>
          <w:rFonts w:ascii="Arial" w:hAnsi="Arial" w:cs="Arial"/>
          <w:sz w:val="24"/>
          <w:szCs w:val="24"/>
        </w:rPr>
        <w:t xml:space="preserve">disminución en la calificación de riesgo, record </w:t>
      </w:r>
      <w:r w:rsidRPr="00F23928">
        <w:rPr>
          <w:rFonts w:ascii="Arial" w:hAnsi="Arial" w:cs="Arial"/>
          <w:i/>
          <w:sz w:val="24"/>
          <w:szCs w:val="24"/>
        </w:rPr>
        <w:t xml:space="preserve">(scorings-escort) </w:t>
      </w:r>
      <w:r w:rsidRPr="00F23928">
        <w:rPr>
          <w:rFonts w:ascii="Arial" w:hAnsi="Arial" w:cs="Arial"/>
          <w:sz w:val="24"/>
          <w:szCs w:val="24"/>
        </w:rPr>
        <w:t>o cualquier tipo de medición</w:t>
      </w:r>
      <w:bookmarkEnd w:id="1"/>
      <w:bookmarkEnd w:id="2"/>
      <w:r w:rsidRPr="00F23928">
        <w:rPr>
          <w:rFonts w:ascii="Arial" w:hAnsi="Arial" w:cs="Arial"/>
          <w:sz w:val="24"/>
          <w:szCs w:val="24"/>
        </w:rPr>
        <w:t>.</w:t>
      </w:r>
    </w:p>
    <w:p w14:paraId="4AB39F01" w14:textId="77777777" w:rsidR="00813052" w:rsidRPr="00F23928" w:rsidRDefault="00813052" w:rsidP="00813052">
      <w:pPr>
        <w:jc w:val="both"/>
        <w:rPr>
          <w:rFonts w:ascii="Arial" w:hAnsi="Arial" w:cs="Arial"/>
          <w:sz w:val="24"/>
          <w:szCs w:val="24"/>
        </w:rPr>
      </w:pPr>
      <w:r w:rsidRPr="00F23928">
        <w:rPr>
          <w:rFonts w:ascii="Arial" w:hAnsi="Arial" w:cs="Arial"/>
          <w:b/>
          <w:sz w:val="24"/>
          <w:szCs w:val="24"/>
        </w:rPr>
        <w:t>Parágrafo.</w:t>
      </w:r>
      <w:r w:rsidRPr="00F23928">
        <w:rPr>
          <w:rFonts w:ascii="Arial" w:hAnsi="Arial" w:cs="Arial"/>
          <w:sz w:val="24"/>
          <w:szCs w:val="24"/>
        </w:rPr>
        <w:t xml:space="preserve"> En ningún caso se podrá consultar esta información para fines de toma de decisiones laborales.</w:t>
      </w:r>
    </w:p>
    <w:p w14:paraId="67E7B903" w14:textId="77777777" w:rsidR="00813052" w:rsidRPr="00F23928" w:rsidRDefault="00813052" w:rsidP="00813052">
      <w:pPr>
        <w:jc w:val="both"/>
        <w:rPr>
          <w:rFonts w:ascii="Arial" w:hAnsi="Arial" w:cs="Arial"/>
          <w:sz w:val="24"/>
          <w:szCs w:val="24"/>
        </w:rPr>
      </w:pPr>
      <w:r w:rsidRPr="00F23928">
        <w:rPr>
          <w:rFonts w:ascii="Arial" w:hAnsi="Arial" w:cs="Arial"/>
          <w:b/>
          <w:sz w:val="24"/>
          <w:szCs w:val="24"/>
        </w:rPr>
        <w:t>Artículo 5</w:t>
      </w:r>
      <w:r w:rsidRPr="00F23928">
        <w:rPr>
          <w:rFonts w:ascii="Arial" w:hAnsi="Arial" w:cs="Arial"/>
          <w:sz w:val="24"/>
          <w:szCs w:val="24"/>
        </w:rPr>
        <w:t>: Adiciónese Parágrafo al Artículo 12 de la ley 1266 de 2008 quedará así:</w:t>
      </w:r>
    </w:p>
    <w:p w14:paraId="3FB18527" w14:textId="77777777" w:rsidR="00813052" w:rsidRPr="00F23928" w:rsidRDefault="00813052" w:rsidP="00813052">
      <w:pPr>
        <w:jc w:val="both"/>
        <w:rPr>
          <w:rFonts w:ascii="Arial" w:hAnsi="Arial" w:cs="Arial"/>
          <w:sz w:val="24"/>
          <w:szCs w:val="24"/>
        </w:rPr>
      </w:pPr>
      <w:r w:rsidRPr="00F23928">
        <w:rPr>
          <w:rFonts w:ascii="Arial" w:hAnsi="Arial" w:cs="Arial"/>
          <w:b/>
          <w:sz w:val="24"/>
          <w:szCs w:val="24"/>
        </w:rPr>
        <w:lastRenderedPageBreak/>
        <w:t>Parágrafo:</w:t>
      </w:r>
      <w:r w:rsidRPr="00F23928">
        <w:rPr>
          <w:rFonts w:ascii="Arial" w:hAnsi="Arial" w:cs="Arial"/>
          <w:sz w:val="24"/>
          <w:szCs w:val="24"/>
        </w:rPr>
        <w:t xml:space="preserve"> El incumplimiento de lo contenido en el presente artículo, dará lugar al retiro inmediato del reporte negativo.</w:t>
      </w:r>
    </w:p>
    <w:p w14:paraId="184DF393" w14:textId="0C847D15" w:rsidR="00813052" w:rsidRDefault="00813052" w:rsidP="00813052">
      <w:pPr>
        <w:shd w:val="clear" w:color="auto" w:fill="FFFFFF"/>
        <w:jc w:val="both"/>
        <w:rPr>
          <w:rFonts w:ascii="Calibri" w:hAnsi="Calibri"/>
          <w:color w:val="222222"/>
          <w:shd w:val="clear" w:color="auto" w:fill="FFFFFF"/>
        </w:rPr>
      </w:pPr>
      <w:r w:rsidRPr="00F23928">
        <w:rPr>
          <w:rFonts w:ascii="Arial" w:hAnsi="Arial" w:cs="Arial"/>
          <w:b/>
          <w:sz w:val="24"/>
          <w:szCs w:val="24"/>
        </w:rPr>
        <w:t>Artículo 6:</w:t>
      </w:r>
      <w:r w:rsidRPr="00F23928">
        <w:rPr>
          <w:rFonts w:ascii="Arial" w:eastAsia="Times New Roman" w:hAnsi="Arial" w:cs="Arial"/>
          <w:b/>
          <w:bCs/>
          <w:color w:val="222222"/>
          <w:sz w:val="24"/>
          <w:szCs w:val="24"/>
          <w:lang w:eastAsia="es-ES"/>
        </w:rPr>
        <w:t xml:space="preserve"> </w:t>
      </w:r>
      <w:r>
        <w:rPr>
          <w:rFonts w:ascii="Arial" w:hAnsi="Arial" w:cs="Arial"/>
          <w:sz w:val="24"/>
          <w:szCs w:val="24"/>
          <w:shd w:val="clear" w:color="auto" w:fill="FFFFFF"/>
        </w:rPr>
        <w:t>Adiciónese el numeral 7 en el</w:t>
      </w:r>
      <w:r w:rsidRPr="005F140A">
        <w:rPr>
          <w:rFonts w:ascii="Arial" w:hAnsi="Arial" w:cs="Arial"/>
          <w:sz w:val="24"/>
          <w:szCs w:val="24"/>
          <w:shd w:val="clear" w:color="auto" w:fill="FFFFFF"/>
        </w:rPr>
        <w:t xml:space="preserve"> Numeral II</w:t>
      </w:r>
      <w:r>
        <w:rPr>
          <w:rFonts w:ascii="Arial" w:hAnsi="Arial" w:cs="Arial"/>
          <w:sz w:val="24"/>
          <w:szCs w:val="24"/>
          <w:shd w:val="clear" w:color="auto" w:fill="FFFFFF"/>
        </w:rPr>
        <w:t xml:space="preserve"> del</w:t>
      </w:r>
      <w:r w:rsidRPr="005F140A">
        <w:rPr>
          <w:rFonts w:ascii="Arial" w:hAnsi="Arial" w:cs="Arial"/>
          <w:sz w:val="24"/>
          <w:szCs w:val="24"/>
          <w:shd w:val="clear" w:color="auto" w:fill="FFFFFF"/>
        </w:rPr>
        <w:t xml:space="preserve"> Artículo 16</w:t>
      </w:r>
      <w:r>
        <w:rPr>
          <w:rFonts w:ascii="Arial" w:hAnsi="Arial" w:cs="Arial"/>
          <w:sz w:val="24"/>
          <w:szCs w:val="24"/>
          <w:shd w:val="clear" w:color="auto" w:fill="FFFFFF"/>
        </w:rPr>
        <w:t xml:space="preserve"> </w:t>
      </w:r>
      <w:r w:rsidRPr="005F140A">
        <w:rPr>
          <w:rFonts w:ascii="Arial" w:hAnsi="Arial" w:cs="Arial"/>
          <w:sz w:val="24"/>
          <w:szCs w:val="24"/>
          <w:shd w:val="clear" w:color="auto" w:fill="FFFFFF"/>
        </w:rPr>
        <w:t>de la ley 1266 de 2008, el cual quedará así</w:t>
      </w:r>
    </w:p>
    <w:p w14:paraId="0186100B" w14:textId="77777777" w:rsidR="00813052" w:rsidRDefault="00813052" w:rsidP="00813052">
      <w:pPr>
        <w:shd w:val="clear" w:color="auto" w:fill="FFFFFF"/>
        <w:jc w:val="both"/>
        <w:rPr>
          <w:rFonts w:ascii="Arial" w:eastAsia="Times New Roman" w:hAnsi="Arial" w:cs="Arial"/>
          <w:sz w:val="24"/>
          <w:szCs w:val="24"/>
          <w:lang w:eastAsia="es-ES"/>
        </w:rPr>
      </w:pPr>
      <w:r>
        <w:rPr>
          <w:rFonts w:ascii="Arial" w:eastAsia="Times New Roman" w:hAnsi="Arial" w:cs="Arial"/>
          <w:bCs/>
          <w:sz w:val="24"/>
          <w:szCs w:val="24"/>
          <w:lang w:eastAsia="es-ES"/>
        </w:rPr>
        <w:t>7.</w:t>
      </w:r>
      <w:r w:rsidRPr="005F140A">
        <w:rPr>
          <w:rFonts w:ascii="Arial" w:eastAsia="Times New Roman" w:hAnsi="Arial" w:cs="Arial"/>
          <w:sz w:val="24"/>
          <w:szCs w:val="24"/>
          <w:lang w:eastAsia="es-ES"/>
        </w:rPr>
        <w:t> De los casos de suplantación: En el caso que el titular sea víctima del delito de </w:t>
      </w:r>
      <w:r w:rsidRPr="005F140A">
        <w:rPr>
          <w:rFonts w:ascii="Arial" w:eastAsia="Times New Roman" w:hAnsi="Arial" w:cs="Arial"/>
          <w:i/>
          <w:iCs/>
          <w:sz w:val="24"/>
          <w:szCs w:val="24"/>
          <w:lang w:eastAsia="es-ES"/>
        </w:rPr>
        <w:t>Falsedad</w:t>
      </w:r>
      <w:r w:rsidRPr="005F140A">
        <w:rPr>
          <w:rFonts w:ascii="Arial" w:eastAsia="Times New Roman" w:hAnsi="Arial" w:cs="Arial"/>
          <w:sz w:val="24"/>
          <w:szCs w:val="24"/>
          <w:lang w:eastAsia="es-ES"/>
        </w:rPr>
        <w:t> </w:t>
      </w:r>
      <w:r w:rsidRPr="005F140A">
        <w:rPr>
          <w:rFonts w:ascii="Arial" w:eastAsia="Times New Roman" w:hAnsi="Arial" w:cs="Arial"/>
          <w:i/>
          <w:iCs/>
          <w:sz w:val="24"/>
          <w:szCs w:val="24"/>
          <w:lang w:eastAsia="es-ES"/>
        </w:rPr>
        <w:t>Personal</w:t>
      </w:r>
      <w:r>
        <w:rPr>
          <w:rFonts w:ascii="Arial" w:eastAsia="Times New Roman" w:hAnsi="Arial" w:cs="Arial"/>
          <w:i/>
          <w:iCs/>
          <w:sz w:val="24"/>
          <w:szCs w:val="24"/>
          <w:lang w:eastAsia="es-ES"/>
        </w:rPr>
        <w:t xml:space="preserve"> </w:t>
      </w:r>
      <w:r w:rsidRPr="005F140A">
        <w:rPr>
          <w:rFonts w:ascii="Arial" w:eastAsia="Times New Roman" w:hAnsi="Arial" w:cs="Arial"/>
          <w:sz w:val="24"/>
          <w:szCs w:val="24"/>
          <w:lang w:eastAsia="es-ES"/>
        </w:rPr>
        <w:t>contemplado en el Artículo 296 de la Ley 599 de 2000, y le sea exigido el pago de obligaciones como resultado de la conducta punible de la que es víctima, deberá presentar denuncia ante autoridad competente y elevar petición de corrección ante la fuente adjuntando los soportes correspondientes.</w:t>
      </w:r>
    </w:p>
    <w:p w14:paraId="0F222DF9" w14:textId="77777777" w:rsidR="00813052" w:rsidRPr="005F140A" w:rsidRDefault="00813052" w:rsidP="00813052">
      <w:pPr>
        <w:shd w:val="clear" w:color="auto" w:fill="FFFFFF"/>
        <w:jc w:val="both"/>
        <w:rPr>
          <w:rFonts w:ascii="Arial" w:eastAsia="Times New Roman" w:hAnsi="Arial" w:cs="Arial"/>
          <w:sz w:val="24"/>
          <w:szCs w:val="24"/>
          <w:lang w:eastAsia="es-ES"/>
        </w:rPr>
      </w:pPr>
      <w:r w:rsidRPr="005F140A">
        <w:rPr>
          <w:rFonts w:ascii="Arial" w:eastAsia="Times New Roman" w:hAnsi="Arial" w:cs="Arial"/>
          <w:sz w:val="24"/>
          <w:szCs w:val="24"/>
          <w:lang w:eastAsia="es-ES"/>
        </w:rPr>
        <w:t>La fuente deberá cotejar los documentos utilizados para adquirir las obligaciones, con los documentos allegados por el titular en la petición, los cuales se tendrán como prueba sumaria para probar la falsedad, la fuente deberá denunciar el delito de estafa del que ha sido víctima.</w:t>
      </w:r>
    </w:p>
    <w:p w14:paraId="2D4A50DF" w14:textId="77777777" w:rsidR="00813052" w:rsidRPr="005F140A" w:rsidRDefault="00813052" w:rsidP="00813052">
      <w:pPr>
        <w:shd w:val="clear" w:color="auto" w:fill="FFFFFF"/>
        <w:spacing w:after="0" w:line="240" w:lineRule="auto"/>
        <w:jc w:val="both"/>
        <w:rPr>
          <w:rFonts w:ascii="Arial" w:eastAsia="Times New Roman" w:hAnsi="Arial" w:cs="Arial"/>
          <w:sz w:val="24"/>
          <w:szCs w:val="24"/>
          <w:lang w:eastAsia="es-ES"/>
        </w:rPr>
      </w:pPr>
      <w:r w:rsidRPr="005F140A">
        <w:rPr>
          <w:rFonts w:ascii="Arial" w:eastAsia="Times New Roman" w:hAnsi="Arial" w:cs="Arial"/>
          <w:sz w:val="24"/>
          <w:szCs w:val="24"/>
          <w:lang w:eastAsia="es-ES"/>
        </w:rPr>
        <w:t>Con la solicitud debidamente sustentada por el titular, el dato negativo, record </w:t>
      </w:r>
      <w:r w:rsidRPr="005F140A">
        <w:rPr>
          <w:rFonts w:ascii="Arial" w:eastAsia="Times New Roman" w:hAnsi="Arial" w:cs="Arial"/>
          <w:i/>
          <w:iCs/>
          <w:sz w:val="24"/>
          <w:szCs w:val="24"/>
          <w:lang w:eastAsia="es-ES"/>
        </w:rPr>
        <w:t>(scorings-escort) </w:t>
      </w:r>
      <w:r w:rsidRPr="005F140A">
        <w:rPr>
          <w:rFonts w:ascii="Arial" w:eastAsia="Times New Roman" w:hAnsi="Arial" w:cs="Arial"/>
          <w:sz w:val="24"/>
          <w:szCs w:val="24"/>
          <w:lang w:eastAsia="es-ES"/>
        </w:rPr>
        <w:t>y cualquier otro dato que refleje el comportamiento del titular, deberán ser modificados por la fuente reflejando que la victima de falsedad no es quien adquirió las obligaciones, y se incluirá una leyenda dentro del registro personal que diga “</w:t>
      </w:r>
      <w:r w:rsidRPr="005F140A">
        <w:rPr>
          <w:rFonts w:ascii="Arial" w:eastAsia="Times New Roman" w:hAnsi="Arial" w:cs="Arial"/>
          <w:i/>
          <w:iCs/>
          <w:sz w:val="24"/>
          <w:szCs w:val="24"/>
          <w:lang w:eastAsia="es-ES"/>
        </w:rPr>
        <w:t>Victima de falsedad Personal” </w:t>
      </w:r>
    </w:p>
    <w:p w14:paraId="170D4ED2" w14:textId="77777777" w:rsidR="00813052" w:rsidRDefault="00813052" w:rsidP="00813052">
      <w:pPr>
        <w:jc w:val="both"/>
        <w:rPr>
          <w:rFonts w:ascii="Arial" w:hAnsi="Arial" w:cs="Arial"/>
          <w:b/>
          <w:sz w:val="24"/>
          <w:szCs w:val="24"/>
        </w:rPr>
      </w:pPr>
    </w:p>
    <w:p w14:paraId="74959B46" w14:textId="77777777" w:rsidR="00813052" w:rsidRPr="00F23928" w:rsidRDefault="00813052" w:rsidP="00813052">
      <w:pPr>
        <w:jc w:val="both"/>
        <w:rPr>
          <w:rFonts w:ascii="Arial" w:hAnsi="Arial" w:cs="Arial"/>
          <w:sz w:val="24"/>
          <w:szCs w:val="24"/>
        </w:rPr>
      </w:pPr>
      <w:r w:rsidRPr="00F23928">
        <w:rPr>
          <w:rFonts w:ascii="Arial" w:hAnsi="Arial" w:cs="Arial"/>
          <w:b/>
          <w:sz w:val="24"/>
          <w:szCs w:val="24"/>
        </w:rPr>
        <w:t xml:space="preserve">Artículo 7. Régimen de transición. </w:t>
      </w:r>
      <w:r w:rsidRPr="00F23928">
        <w:rPr>
          <w:rFonts w:ascii="Arial" w:hAnsi="Arial" w:cs="Arial"/>
          <w:sz w:val="24"/>
          <w:szCs w:val="24"/>
        </w:rPr>
        <w:t>Los titulares de la información que a la entrada en vigencia de esta ley estuvieren al día en sus obligaciones objeto de reporte, y cuya información negativa hubiere permanecido en los Bancos de Datos por lo menos seis (6) meses contados a partir de la extinción de las obligaciones, serán beneficiarios de la caducidad inmediata de la información negativa.</w:t>
      </w:r>
    </w:p>
    <w:p w14:paraId="2A72D1D7" w14:textId="77777777" w:rsidR="00813052" w:rsidRPr="00F23928" w:rsidRDefault="00813052" w:rsidP="00813052">
      <w:pPr>
        <w:spacing w:after="0" w:line="240" w:lineRule="auto"/>
        <w:jc w:val="both"/>
        <w:rPr>
          <w:rFonts w:ascii="Arial" w:hAnsi="Arial" w:cs="Arial"/>
          <w:sz w:val="24"/>
          <w:szCs w:val="24"/>
        </w:rPr>
      </w:pPr>
      <w:r w:rsidRPr="00F23928">
        <w:rPr>
          <w:rFonts w:ascii="Arial" w:hAnsi="Arial" w:cs="Arial"/>
          <w:sz w:val="24"/>
          <w:szCs w:val="24"/>
        </w:rPr>
        <w:t>Los titulares que tengan extintas sus obligaciones objeto de reporte, cuya información negativa no hubiere permanecido en los Bancos de Datos al menos seis (6) meses después de la extinción de las obligaciones, permanecerán con dicha información negativa por el tiempo que les hiciere falta para cumplir los seis (6) meses, contado a partir de la extinción de las obligaciones. Y en el caso que las obligaciones registren mora inferior a seis (6) meses, la información negativa permanecerá por el mismo tiempo de mora contado a partir de la extinción de las obligaciones.</w:t>
      </w:r>
    </w:p>
    <w:p w14:paraId="11E8FBA7" w14:textId="77777777" w:rsidR="00813052" w:rsidRPr="00F23928" w:rsidRDefault="00813052" w:rsidP="00813052">
      <w:pPr>
        <w:spacing w:after="0" w:line="240" w:lineRule="auto"/>
        <w:jc w:val="both"/>
        <w:rPr>
          <w:rFonts w:ascii="Arial" w:hAnsi="Arial" w:cs="Arial"/>
          <w:sz w:val="24"/>
          <w:szCs w:val="24"/>
        </w:rPr>
      </w:pPr>
    </w:p>
    <w:p w14:paraId="320AE147" w14:textId="77777777" w:rsidR="00813052" w:rsidRPr="00F23928" w:rsidRDefault="00813052" w:rsidP="00813052">
      <w:pPr>
        <w:jc w:val="both"/>
        <w:rPr>
          <w:rFonts w:ascii="Arial" w:hAnsi="Arial" w:cs="Arial"/>
          <w:sz w:val="24"/>
          <w:szCs w:val="24"/>
        </w:rPr>
      </w:pPr>
      <w:r w:rsidRPr="00F23928">
        <w:rPr>
          <w:rFonts w:ascii="Arial" w:hAnsi="Arial" w:cs="Arial"/>
          <w:sz w:val="24"/>
          <w:szCs w:val="24"/>
        </w:rPr>
        <w:t>Los titulares de la información que extingan sus obligaciones objeto de reporte dentro de los seis (6) meses siguientes a la entrada en vigencia de la presente ley, permanecerán con dicha información negativa en los Bancos de Datos por el término máximo de seis (6) meses, contados a partir de la fecha de extinción de tales obligaciones. Cumplido este plazo de máximo seis (6) meses, el dato negativo deberá ser retirado automáticamente de los Bancos de Datos</w:t>
      </w:r>
    </w:p>
    <w:p w14:paraId="66712FB1" w14:textId="77777777" w:rsidR="00813052" w:rsidRPr="00F23928" w:rsidRDefault="00813052" w:rsidP="00813052">
      <w:pPr>
        <w:jc w:val="both"/>
        <w:rPr>
          <w:rFonts w:ascii="Arial" w:hAnsi="Arial" w:cs="Arial"/>
          <w:sz w:val="24"/>
          <w:szCs w:val="24"/>
        </w:rPr>
      </w:pPr>
      <w:r w:rsidRPr="00F23928">
        <w:rPr>
          <w:rFonts w:ascii="Arial" w:hAnsi="Arial" w:cs="Arial"/>
          <w:b/>
          <w:sz w:val="24"/>
          <w:szCs w:val="24"/>
        </w:rPr>
        <w:t>Articulo 8 Vigencia y Derogatoria</w:t>
      </w:r>
      <w:r w:rsidRPr="00F23928">
        <w:rPr>
          <w:rFonts w:ascii="Arial" w:hAnsi="Arial" w:cs="Arial"/>
          <w:sz w:val="24"/>
          <w:szCs w:val="24"/>
        </w:rPr>
        <w:t>. Esta Ley rige a partir de la fecha de publicación y deroga las disposiciones que le sean contrarias.</w:t>
      </w:r>
    </w:p>
    <w:p w14:paraId="1F3F7D68" w14:textId="77777777" w:rsidR="00813052" w:rsidRDefault="00813052" w:rsidP="00813052">
      <w:pPr>
        <w:jc w:val="both"/>
      </w:pPr>
    </w:p>
    <w:p w14:paraId="61BACC08" w14:textId="77777777" w:rsidR="00813052" w:rsidRDefault="00813052" w:rsidP="00813052">
      <w:pPr>
        <w:jc w:val="both"/>
      </w:pPr>
    </w:p>
    <w:p w14:paraId="56323329" w14:textId="77777777" w:rsidR="00813052" w:rsidRPr="00F23928" w:rsidRDefault="00813052" w:rsidP="00813052">
      <w:pPr>
        <w:pStyle w:val="Sinespaciado"/>
        <w:rPr>
          <w:rFonts w:ascii="Arial" w:hAnsi="Arial" w:cs="Arial"/>
          <w:b/>
          <w:sz w:val="24"/>
          <w:szCs w:val="24"/>
        </w:rPr>
      </w:pPr>
    </w:p>
    <w:p w14:paraId="51BF4028" w14:textId="77777777" w:rsidR="00813052" w:rsidRDefault="00813052" w:rsidP="00813052">
      <w:pPr>
        <w:pStyle w:val="Sinespaciado"/>
        <w:rPr>
          <w:rFonts w:ascii="Arial" w:hAnsi="Arial" w:cs="Arial"/>
          <w:b/>
          <w:sz w:val="24"/>
          <w:szCs w:val="24"/>
        </w:rPr>
      </w:pPr>
    </w:p>
    <w:p w14:paraId="310D1AD8" w14:textId="77777777" w:rsidR="00813052" w:rsidRDefault="00813052" w:rsidP="00813052">
      <w:pPr>
        <w:pStyle w:val="Sinespaciado"/>
        <w:rPr>
          <w:rFonts w:ascii="Arial" w:hAnsi="Arial" w:cs="Arial"/>
          <w:b/>
          <w:sz w:val="24"/>
          <w:szCs w:val="24"/>
        </w:rPr>
      </w:pPr>
    </w:p>
    <w:p w14:paraId="5ECBA1EA" w14:textId="77777777" w:rsidR="00813052" w:rsidRDefault="00813052" w:rsidP="00813052">
      <w:pPr>
        <w:pStyle w:val="Sinespaciado"/>
        <w:rPr>
          <w:rFonts w:ascii="Arial" w:hAnsi="Arial" w:cs="Arial"/>
          <w:b/>
          <w:sz w:val="24"/>
          <w:szCs w:val="24"/>
        </w:rPr>
      </w:pPr>
    </w:p>
    <w:p w14:paraId="450F78DB" w14:textId="77777777" w:rsidR="00813052" w:rsidRDefault="00813052" w:rsidP="00813052">
      <w:pPr>
        <w:pStyle w:val="Sinespaciado"/>
        <w:rPr>
          <w:rFonts w:ascii="Arial" w:hAnsi="Arial" w:cs="Arial"/>
          <w:b/>
          <w:sz w:val="24"/>
          <w:szCs w:val="24"/>
        </w:rPr>
      </w:pPr>
    </w:p>
    <w:p w14:paraId="6EEF306E" w14:textId="77777777" w:rsidR="00813052" w:rsidRDefault="00813052" w:rsidP="00813052">
      <w:pPr>
        <w:pStyle w:val="Sinespaciado"/>
        <w:jc w:val="center"/>
        <w:rPr>
          <w:rFonts w:ascii="Arial" w:hAnsi="Arial" w:cs="Arial"/>
          <w:b/>
          <w:sz w:val="24"/>
          <w:szCs w:val="24"/>
        </w:rPr>
      </w:pPr>
    </w:p>
    <w:p w14:paraId="6921E8DD" w14:textId="77777777" w:rsidR="00813052" w:rsidRDefault="00813052" w:rsidP="00813052">
      <w:pPr>
        <w:pStyle w:val="Sinespaciado"/>
        <w:jc w:val="center"/>
        <w:rPr>
          <w:rFonts w:ascii="Arial" w:hAnsi="Arial" w:cs="Arial"/>
          <w:b/>
          <w:sz w:val="24"/>
          <w:szCs w:val="24"/>
        </w:rPr>
      </w:pPr>
    </w:p>
    <w:p w14:paraId="54EF5EB2" w14:textId="77777777" w:rsidR="00813052" w:rsidRDefault="00813052" w:rsidP="00813052">
      <w:pPr>
        <w:pStyle w:val="Sinespaciado"/>
        <w:jc w:val="center"/>
        <w:rPr>
          <w:rFonts w:ascii="Arial" w:hAnsi="Arial" w:cs="Arial"/>
          <w:b/>
          <w:sz w:val="24"/>
          <w:szCs w:val="24"/>
        </w:rPr>
      </w:pPr>
    </w:p>
    <w:p w14:paraId="5EE18715" w14:textId="1CEA3FA8" w:rsidR="00813052" w:rsidRPr="00946A17" w:rsidRDefault="009341EE" w:rsidP="00813052">
      <w:pPr>
        <w:pStyle w:val="Sinespaciado"/>
        <w:jc w:val="center"/>
        <w:rPr>
          <w:rFonts w:ascii="Arial" w:hAnsi="Arial" w:cs="Arial"/>
          <w:b/>
          <w:sz w:val="28"/>
          <w:szCs w:val="24"/>
        </w:rPr>
      </w:pPr>
      <w:r>
        <w:rPr>
          <w:rFonts w:ascii="Arial" w:hAnsi="Arial" w:cs="Arial"/>
          <w:b/>
          <w:sz w:val="28"/>
          <w:szCs w:val="24"/>
        </w:rPr>
        <w:t>Julián Bedoya Pulgarín</w:t>
      </w:r>
    </w:p>
    <w:p w14:paraId="0D080CA5" w14:textId="601E4963" w:rsidR="00813052" w:rsidRPr="00946A17" w:rsidRDefault="00813052" w:rsidP="00813052">
      <w:pPr>
        <w:pStyle w:val="Sinespaciado"/>
        <w:jc w:val="center"/>
        <w:rPr>
          <w:rFonts w:ascii="Arial" w:hAnsi="Arial" w:cs="Arial"/>
          <w:sz w:val="28"/>
          <w:szCs w:val="24"/>
        </w:rPr>
      </w:pPr>
      <w:r w:rsidRPr="00946A17">
        <w:rPr>
          <w:rFonts w:ascii="Arial" w:hAnsi="Arial" w:cs="Arial"/>
          <w:sz w:val="28"/>
          <w:szCs w:val="24"/>
        </w:rPr>
        <w:t>Ponente</w:t>
      </w:r>
    </w:p>
    <w:p w14:paraId="08D9CB85" w14:textId="77777777" w:rsidR="00813052" w:rsidRDefault="00813052" w:rsidP="00813052">
      <w:pPr>
        <w:jc w:val="both"/>
      </w:pPr>
    </w:p>
    <w:p w14:paraId="434836CB" w14:textId="77777777" w:rsidR="00813052" w:rsidRPr="00A74159" w:rsidRDefault="00813052" w:rsidP="00A74159">
      <w:pPr>
        <w:ind w:right="284"/>
        <w:jc w:val="both"/>
        <w:rPr>
          <w:rFonts w:ascii="Arial" w:hAnsi="Arial" w:cs="Arial"/>
          <w:sz w:val="24"/>
          <w:szCs w:val="24"/>
        </w:rPr>
      </w:pPr>
    </w:p>
    <w:sectPr w:rsidR="00813052" w:rsidRPr="00A74159">
      <w:headerReference w:type="default" r:id="rId3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3E338" w14:textId="77777777" w:rsidR="00F118B9" w:rsidRDefault="00F118B9" w:rsidP="00916204">
      <w:pPr>
        <w:spacing w:after="0" w:line="240" w:lineRule="auto"/>
      </w:pPr>
      <w:r>
        <w:separator/>
      </w:r>
    </w:p>
  </w:endnote>
  <w:endnote w:type="continuationSeparator" w:id="0">
    <w:p w14:paraId="459CFBF4" w14:textId="77777777" w:rsidR="00F118B9" w:rsidRDefault="00F118B9" w:rsidP="0091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29785" w14:textId="77777777" w:rsidR="00F118B9" w:rsidRDefault="00F118B9" w:rsidP="00916204">
      <w:pPr>
        <w:spacing w:after="0" w:line="240" w:lineRule="auto"/>
      </w:pPr>
      <w:r>
        <w:separator/>
      </w:r>
    </w:p>
  </w:footnote>
  <w:footnote w:type="continuationSeparator" w:id="0">
    <w:p w14:paraId="2782CB07" w14:textId="77777777" w:rsidR="00F118B9" w:rsidRDefault="00F118B9" w:rsidP="00916204">
      <w:pPr>
        <w:spacing w:after="0" w:line="240" w:lineRule="auto"/>
      </w:pPr>
      <w:r>
        <w:continuationSeparator/>
      </w:r>
    </w:p>
  </w:footnote>
  <w:footnote w:id="1">
    <w:p w14:paraId="3515DF90" w14:textId="3B0625FE" w:rsidR="00916204" w:rsidRDefault="00916204">
      <w:pPr>
        <w:pStyle w:val="Textonotapie"/>
      </w:pPr>
      <w:r>
        <w:rPr>
          <w:rStyle w:val="Refdenotaalpie"/>
        </w:rPr>
        <w:footnoteRef/>
      </w:r>
      <w:r>
        <w:t xml:space="preserve"> Este resumen, de realización propia, fue publicado en:</w:t>
      </w:r>
      <w:r w:rsidRPr="00916204">
        <w:t xml:space="preserve"> http://www.senado.gov.co/sala-de-prensa/noticias/item/23488-presidente-luis-fernando-velasco-radico-de-nuevo-proyecto-de-habeas-data?tmpl=component&amp;print=1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BFFDB" w14:textId="077661BF" w:rsidR="00090EFB" w:rsidRPr="00985EC9" w:rsidRDefault="009341EE" w:rsidP="00090EFB">
    <w:pPr>
      <w:pStyle w:val="Encabezado"/>
      <w:jc w:val="center"/>
    </w:pPr>
    <w:r>
      <w:rPr>
        <w:noProof/>
        <w:lang w:eastAsia="es-CO"/>
      </w:rPr>
      <w:drawing>
        <wp:inline distT="0" distB="0" distL="0" distR="0" wp14:anchorId="34EF5ACA" wp14:editId="457E9ADE">
          <wp:extent cx="3067050" cy="1304925"/>
          <wp:effectExtent l="0" t="0" r="0" b="9525"/>
          <wp:docPr id="2" name="Imagen 2" descr="C:\Users\kevin.henao\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vin.henao\Download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1363" cy="1306760"/>
                  </a:xfrm>
                  <a:prstGeom prst="rect">
                    <a:avLst/>
                  </a:prstGeom>
                  <a:noFill/>
                  <a:ln>
                    <a:noFill/>
                  </a:ln>
                </pic:spPr>
              </pic:pic>
            </a:graphicData>
          </a:graphic>
        </wp:inline>
      </w:drawing>
    </w:r>
  </w:p>
  <w:p w14:paraId="50636BD8" w14:textId="1ECDF219" w:rsidR="00090EFB" w:rsidRPr="009341EE" w:rsidRDefault="009341EE" w:rsidP="00090EFB">
    <w:pPr>
      <w:jc w:val="center"/>
      <w:rPr>
        <w:rFonts w:ascii="Gill Sans MT" w:eastAsia="Arial Unicode MS" w:hAnsi="Gill Sans MT" w:cs="Arial Unicode MS"/>
        <w:b/>
        <w:spacing w:val="60"/>
        <w:sz w:val="20"/>
      </w:rPr>
    </w:pPr>
    <w:r w:rsidRPr="009341EE">
      <w:rPr>
        <w:rFonts w:ascii="Gill Sans MT" w:eastAsia="Arial Unicode MS" w:hAnsi="Gill Sans MT" w:cs="Arial Unicode MS"/>
        <w:b/>
        <w:spacing w:val="60"/>
        <w:sz w:val="20"/>
      </w:rPr>
      <w:t>JULIAN BEDOYA PULGARÍN</w:t>
    </w:r>
  </w:p>
  <w:p w14:paraId="630026F0" w14:textId="77777777" w:rsidR="00090EFB" w:rsidRDefault="00090E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92906"/>
    <w:multiLevelType w:val="hybridMultilevel"/>
    <w:tmpl w:val="390876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9795EE6"/>
    <w:multiLevelType w:val="hybridMultilevel"/>
    <w:tmpl w:val="DFA2E31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nsid w:val="53930856"/>
    <w:multiLevelType w:val="hybridMultilevel"/>
    <w:tmpl w:val="D8408E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3F52929"/>
    <w:multiLevelType w:val="hybridMultilevel"/>
    <w:tmpl w:val="919236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FFD6E2A"/>
    <w:multiLevelType w:val="hybridMultilevel"/>
    <w:tmpl w:val="BE8A26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43"/>
    <w:rsid w:val="00031D31"/>
    <w:rsid w:val="00037B41"/>
    <w:rsid w:val="00052841"/>
    <w:rsid w:val="00057B29"/>
    <w:rsid w:val="00067B56"/>
    <w:rsid w:val="00090EFB"/>
    <w:rsid w:val="000A4893"/>
    <w:rsid w:val="000A7EFB"/>
    <w:rsid w:val="000C3149"/>
    <w:rsid w:val="000F4F4A"/>
    <w:rsid w:val="00147372"/>
    <w:rsid w:val="001570ED"/>
    <w:rsid w:val="00167429"/>
    <w:rsid w:val="001B7E17"/>
    <w:rsid w:val="001C1411"/>
    <w:rsid w:val="0021326E"/>
    <w:rsid w:val="00226D79"/>
    <w:rsid w:val="00232631"/>
    <w:rsid w:val="00253AB0"/>
    <w:rsid w:val="00256750"/>
    <w:rsid w:val="0027758E"/>
    <w:rsid w:val="0029016A"/>
    <w:rsid w:val="002C0173"/>
    <w:rsid w:val="002D1AAB"/>
    <w:rsid w:val="00303427"/>
    <w:rsid w:val="003142DE"/>
    <w:rsid w:val="00361E6C"/>
    <w:rsid w:val="003726C9"/>
    <w:rsid w:val="00391583"/>
    <w:rsid w:val="003A7982"/>
    <w:rsid w:val="003B4B06"/>
    <w:rsid w:val="003B4C9C"/>
    <w:rsid w:val="003C0DD2"/>
    <w:rsid w:val="003E6C48"/>
    <w:rsid w:val="003F54DE"/>
    <w:rsid w:val="003F5ED1"/>
    <w:rsid w:val="0042008A"/>
    <w:rsid w:val="004256B4"/>
    <w:rsid w:val="004362A8"/>
    <w:rsid w:val="00464223"/>
    <w:rsid w:val="00470263"/>
    <w:rsid w:val="004764ED"/>
    <w:rsid w:val="00504F79"/>
    <w:rsid w:val="0056789C"/>
    <w:rsid w:val="0058774A"/>
    <w:rsid w:val="005B4943"/>
    <w:rsid w:val="005D1045"/>
    <w:rsid w:val="005E7493"/>
    <w:rsid w:val="005F19D8"/>
    <w:rsid w:val="005F709B"/>
    <w:rsid w:val="006010D2"/>
    <w:rsid w:val="00602573"/>
    <w:rsid w:val="00605E4F"/>
    <w:rsid w:val="00624853"/>
    <w:rsid w:val="0069283F"/>
    <w:rsid w:val="006B6415"/>
    <w:rsid w:val="006D2AD9"/>
    <w:rsid w:val="00714967"/>
    <w:rsid w:val="007360CA"/>
    <w:rsid w:val="0073779C"/>
    <w:rsid w:val="007731C7"/>
    <w:rsid w:val="00782C25"/>
    <w:rsid w:val="007A6EBC"/>
    <w:rsid w:val="007B5B65"/>
    <w:rsid w:val="007C6C3D"/>
    <w:rsid w:val="007D15D6"/>
    <w:rsid w:val="007E2F56"/>
    <w:rsid w:val="007F5F25"/>
    <w:rsid w:val="00813052"/>
    <w:rsid w:val="00821911"/>
    <w:rsid w:val="0086330C"/>
    <w:rsid w:val="008C6691"/>
    <w:rsid w:val="008D30A3"/>
    <w:rsid w:val="00916204"/>
    <w:rsid w:val="00930676"/>
    <w:rsid w:val="009341EE"/>
    <w:rsid w:val="009442AD"/>
    <w:rsid w:val="00946A17"/>
    <w:rsid w:val="009A5BDA"/>
    <w:rsid w:val="009C39ED"/>
    <w:rsid w:val="009D39AF"/>
    <w:rsid w:val="009D3F48"/>
    <w:rsid w:val="00A44703"/>
    <w:rsid w:val="00A74159"/>
    <w:rsid w:val="00AA158F"/>
    <w:rsid w:val="00AA745C"/>
    <w:rsid w:val="00AB24F3"/>
    <w:rsid w:val="00AD6891"/>
    <w:rsid w:val="00AE7987"/>
    <w:rsid w:val="00B42834"/>
    <w:rsid w:val="00B67D48"/>
    <w:rsid w:val="00BA2678"/>
    <w:rsid w:val="00BD29BC"/>
    <w:rsid w:val="00BF6508"/>
    <w:rsid w:val="00BF657B"/>
    <w:rsid w:val="00C5201D"/>
    <w:rsid w:val="00C57F89"/>
    <w:rsid w:val="00C729E3"/>
    <w:rsid w:val="00C93651"/>
    <w:rsid w:val="00CE0A9E"/>
    <w:rsid w:val="00D03596"/>
    <w:rsid w:val="00D16986"/>
    <w:rsid w:val="00D43333"/>
    <w:rsid w:val="00D72079"/>
    <w:rsid w:val="00D922F8"/>
    <w:rsid w:val="00DE2944"/>
    <w:rsid w:val="00E034EC"/>
    <w:rsid w:val="00E353F5"/>
    <w:rsid w:val="00E456A0"/>
    <w:rsid w:val="00E47CD2"/>
    <w:rsid w:val="00E61A14"/>
    <w:rsid w:val="00E77D63"/>
    <w:rsid w:val="00E802DD"/>
    <w:rsid w:val="00E826A2"/>
    <w:rsid w:val="00E94773"/>
    <w:rsid w:val="00E95402"/>
    <w:rsid w:val="00EA43C6"/>
    <w:rsid w:val="00EC7BE4"/>
    <w:rsid w:val="00EF67D0"/>
    <w:rsid w:val="00F0336B"/>
    <w:rsid w:val="00F118B9"/>
    <w:rsid w:val="00F22C66"/>
    <w:rsid w:val="00F419AD"/>
    <w:rsid w:val="00F56A78"/>
    <w:rsid w:val="00FA25E3"/>
    <w:rsid w:val="00FA74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4C4C2"/>
  <w15:docId w15:val="{12734CB2-48AC-4022-B5E6-C4D94BC9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7EFB"/>
    <w:pPr>
      <w:ind w:left="720"/>
      <w:contextualSpacing/>
    </w:pPr>
  </w:style>
  <w:style w:type="character" w:styleId="Hipervnculo">
    <w:name w:val="Hyperlink"/>
    <w:basedOn w:val="Fuentedeprrafopredeter"/>
    <w:uiPriority w:val="99"/>
    <w:unhideWhenUsed/>
    <w:rsid w:val="009C39ED"/>
    <w:rPr>
      <w:color w:val="0000FF" w:themeColor="hyperlink"/>
      <w:u w:val="single"/>
    </w:rPr>
  </w:style>
  <w:style w:type="paragraph" w:styleId="NormalWeb">
    <w:name w:val="Normal (Web)"/>
    <w:basedOn w:val="Normal"/>
    <w:uiPriority w:val="99"/>
    <w:semiHidden/>
    <w:unhideWhenUsed/>
    <w:rsid w:val="00A7415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A74159"/>
    <w:rPr>
      <w:sz w:val="16"/>
      <w:szCs w:val="16"/>
    </w:rPr>
  </w:style>
  <w:style w:type="paragraph" w:styleId="Textocomentario">
    <w:name w:val="annotation text"/>
    <w:basedOn w:val="Normal"/>
    <w:link w:val="TextocomentarioCar"/>
    <w:uiPriority w:val="99"/>
    <w:semiHidden/>
    <w:unhideWhenUsed/>
    <w:rsid w:val="00A74159"/>
    <w:pPr>
      <w:spacing w:line="240" w:lineRule="auto"/>
    </w:pPr>
    <w:rPr>
      <w:sz w:val="20"/>
      <w:szCs w:val="20"/>
      <w:lang w:val="es-ES"/>
    </w:rPr>
  </w:style>
  <w:style w:type="character" w:customStyle="1" w:styleId="TextocomentarioCar">
    <w:name w:val="Texto comentario Car"/>
    <w:basedOn w:val="Fuentedeprrafopredeter"/>
    <w:link w:val="Textocomentario"/>
    <w:uiPriority w:val="99"/>
    <w:semiHidden/>
    <w:rsid w:val="00A74159"/>
    <w:rPr>
      <w:sz w:val="20"/>
      <w:szCs w:val="20"/>
      <w:lang w:val="es-ES"/>
    </w:rPr>
  </w:style>
  <w:style w:type="paragraph" w:styleId="Textodeglobo">
    <w:name w:val="Balloon Text"/>
    <w:basedOn w:val="Normal"/>
    <w:link w:val="TextodegloboCar"/>
    <w:uiPriority w:val="99"/>
    <w:semiHidden/>
    <w:unhideWhenUsed/>
    <w:rsid w:val="00A741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4159"/>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F657B"/>
    <w:rPr>
      <w:b/>
      <w:bCs/>
      <w:lang w:val="es-CO"/>
    </w:rPr>
  </w:style>
  <w:style w:type="character" w:customStyle="1" w:styleId="AsuntodelcomentarioCar">
    <w:name w:val="Asunto del comentario Car"/>
    <w:basedOn w:val="TextocomentarioCar"/>
    <w:link w:val="Asuntodelcomentario"/>
    <w:uiPriority w:val="99"/>
    <w:semiHidden/>
    <w:rsid w:val="00BF657B"/>
    <w:rPr>
      <w:b/>
      <w:bCs/>
      <w:sz w:val="20"/>
      <w:szCs w:val="20"/>
      <w:lang w:val="es-ES"/>
    </w:rPr>
  </w:style>
  <w:style w:type="paragraph" w:styleId="Textonotapie">
    <w:name w:val="footnote text"/>
    <w:basedOn w:val="Normal"/>
    <w:link w:val="TextonotapieCar"/>
    <w:uiPriority w:val="99"/>
    <w:semiHidden/>
    <w:unhideWhenUsed/>
    <w:rsid w:val="009162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6204"/>
    <w:rPr>
      <w:sz w:val="20"/>
      <w:szCs w:val="20"/>
    </w:rPr>
  </w:style>
  <w:style w:type="character" w:styleId="Refdenotaalpie">
    <w:name w:val="footnote reference"/>
    <w:basedOn w:val="Fuentedeprrafopredeter"/>
    <w:uiPriority w:val="99"/>
    <w:semiHidden/>
    <w:unhideWhenUsed/>
    <w:rsid w:val="00916204"/>
    <w:rPr>
      <w:vertAlign w:val="superscript"/>
    </w:rPr>
  </w:style>
  <w:style w:type="character" w:styleId="Hipervnculovisitado">
    <w:name w:val="FollowedHyperlink"/>
    <w:basedOn w:val="Fuentedeprrafopredeter"/>
    <w:uiPriority w:val="99"/>
    <w:semiHidden/>
    <w:unhideWhenUsed/>
    <w:rsid w:val="00232631"/>
    <w:rPr>
      <w:color w:val="800080" w:themeColor="followedHyperlink"/>
      <w:u w:val="single"/>
    </w:rPr>
  </w:style>
  <w:style w:type="paragraph" w:styleId="Encabezado">
    <w:name w:val="header"/>
    <w:basedOn w:val="Normal"/>
    <w:link w:val="EncabezadoCar"/>
    <w:uiPriority w:val="99"/>
    <w:unhideWhenUsed/>
    <w:rsid w:val="00090E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EFB"/>
  </w:style>
  <w:style w:type="paragraph" w:styleId="Piedepgina">
    <w:name w:val="footer"/>
    <w:basedOn w:val="Normal"/>
    <w:link w:val="PiedepginaCar"/>
    <w:uiPriority w:val="99"/>
    <w:unhideWhenUsed/>
    <w:rsid w:val="00090E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EFB"/>
  </w:style>
  <w:style w:type="character" w:styleId="Textoennegrita">
    <w:name w:val="Strong"/>
    <w:basedOn w:val="Fuentedeprrafopredeter"/>
    <w:uiPriority w:val="22"/>
    <w:qFormat/>
    <w:rsid w:val="00813052"/>
    <w:rPr>
      <w:b/>
      <w:bCs/>
    </w:rPr>
  </w:style>
  <w:style w:type="character" w:customStyle="1" w:styleId="apple-converted-space">
    <w:name w:val="apple-converted-space"/>
    <w:basedOn w:val="Fuentedeprrafopredeter"/>
    <w:rsid w:val="00813052"/>
  </w:style>
  <w:style w:type="paragraph" w:styleId="Sinespaciado">
    <w:name w:val="No Spacing"/>
    <w:uiPriority w:val="1"/>
    <w:qFormat/>
    <w:rsid w:val="00813052"/>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662745">
      <w:bodyDiv w:val="1"/>
      <w:marLeft w:val="0"/>
      <w:marRight w:val="0"/>
      <w:marTop w:val="0"/>
      <w:marBottom w:val="0"/>
      <w:divBdr>
        <w:top w:val="none" w:sz="0" w:space="0" w:color="auto"/>
        <w:left w:val="none" w:sz="0" w:space="0" w:color="auto"/>
        <w:bottom w:val="none" w:sz="0" w:space="0" w:color="auto"/>
        <w:right w:val="none" w:sz="0" w:space="0" w:color="auto"/>
      </w:divBdr>
    </w:div>
    <w:div w:id="593900709">
      <w:bodyDiv w:val="1"/>
      <w:marLeft w:val="0"/>
      <w:marRight w:val="0"/>
      <w:marTop w:val="0"/>
      <w:marBottom w:val="0"/>
      <w:divBdr>
        <w:top w:val="none" w:sz="0" w:space="0" w:color="auto"/>
        <w:left w:val="none" w:sz="0" w:space="0" w:color="auto"/>
        <w:bottom w:val="none" w:sz="0" w:space="0" w:color="auto"/>
        <w:right w:val="none" w:sz="0" w:space="0" w:color="auto"/>
      </w:divBdr>
    </w:div>
    <w:div w:id="910967556">
      <w:bodyDiv w:val="1"/>
      <w:marLeft w:val="0"/>
      <w:marRight w:val="0"/>
      <w:marTop w:val="0"/>
      <w:marBottom w:val="0"/>
      <w:divBdr>
        <w:top w:val="none" w:sz="0" w:space="0" w:color="auto"/>
        <w:left w:val="none" w:sz="0" w:space="0" w:color="auto"/>
        <w:bottom w:val="none" w:sz="0" w:space="0" w:color="auto"/>
        <w:right w:val="none" w:sz="0" w:space="0" w:color="auto"/>
      </w:divBdr>
    </w:div>
    <w:div w:id="952833435">
      <w:bodyDiv w:val="1"/>
      <w:marLeft w:val="0"/>
      <w:marRight w:val="0"/>
      <w:marTop w:val="0"/>
      <w:marBottom w:val="0"/>
      <w:divBdr>
        <w:top w:val="none" w:sz="0" w:space="0" w:color="auto"/>
        <w:left w:val="none" w:sz="0" w:space="0" w:color="auto"/>
        <w:bottom w:val="none" w:sz="0" w:space="0" w:color="auto"/>
        <w:right w:val="none" w:sz="0" w:space="0" w:color="auto"/>
      </w:divBdr>
    </w:div>
    <w:div w:id="1209227197">
      <w:bodyDiv w:val="1"/>
      <w:marLeft w:val="0"/>
      <w:marRight w:val="0"/>
      <w:marTop w:val="0"/>
      <w:marBottom w:val="0"/>
      <w:divBdr>
        <w:top w:val="none" w:sz="0" w:space="0" w:color="auto"/>
        <w:left w:val="none" w:sz="0" w:space="0" w:color="auto"/>
        <w:bottom w:val="none" w:sz="0" w:space="0" w:color="auto"/>
        <w:right w:val="none" w:sz="0" w:space="0" w:color="auto"/>
      </w:divBdr>
    </w:div>
    <w:div w:id="201295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hyperlink" Target="http://www.asobancaria.com/portal/pls/portal/docs/1/4392341.PDF" TargetMode="External"/><Relationship Id="rId26" Type="http://schemas.openxmlformats.org/officeDocument/2006/relationships/hyperlink" Target="http://www.banrep.gov.co/sites/default/files/publicaciones/pdfs/borra449.pdf" TargetMode="External"/><Relationship Id="rId21" Type="http://schemas.openxmlformats.org/officeDocument/2006/relationships/hyperlink" Target="http://www.asobancaria.com/portal/pls/portal/docs/1/4394197.PDF" TargetMode="External"/><Relationship Id="rId34" Type="http://schemas.openxmlformats.org/officeDocument/2006/relationships/hyperlink" Target="http://www.larepublica.co/la-violaci%C3%B3n-de-habeas-data-dej%C3%B3-multas-por-1892-millones-durante-el-a%C3%B1o-pasado_228696"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asobancaria.com/portal/pls/portal/docs/1/4389113.PDF" TargetMode="External"/><Relationship Id="rId25" Type="http://schemas.openxmlformats.org/officeDocument/2006/relationships/hyperlink" Target="http://www.oecd.org/daf/fin/financial-education/OECD_CAF_Financial_Education_Latin_AmericaES.pdf" TargetMode="External"/><Relationship Id="rId33" Type="http://schemas.openxmlformats.org/officeDocument/2006/relationships/hyperlink" Target="http://www.larepublica.co/los-corresponsales-con-crecimiento-de-399-movieron-20-billones-durante-2013_11060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sobancaria.com/portal/pls/portal/docs/1/4389129.PDF" TargetMode="External"/><Relationship Id="rId20" Type="http://schemas.openxmlformats.org/officeDocument/2006/relationships/hyperlink" Target="http://www.asobancaria.com/portal/pls/portal/docs/1/4393461.PDF" TargetMode="External"/><Relationship Id="rId29" Type="http://schemas.openxmlformats.org/officeDocument/2006/relationships/hyperlink" Target="https://www.dane.gov.co/.../pobreza/anexos_pobreza_departamentos_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bancadelasoportunidades.gov.co/documentos/Reporte%20Inclusion%20Financiera/2do_reporte/Reporte%20Final/Capitulos/3_Uso.pdf" TargetMode="External"/><Relationship Id="rId32" Type="http://schemas.openxmlformats.org/officeDocument/2006/relationships/hyperlink" Target="http://espanol.doingbusiness.org/~/media/FPDKM/Doing%20Business/Documents/Subnational-Reports/DB10-Sub-Colombia-Spanish.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sobancaria.com/portal/pls/portal/docs/1/4389145.PDF" TargetMode="External"/><Relationship Id="rId23" Type="http://schemas.openxmlformats.org/officeDocument/2006/relationships/hyperlink" Target="http://www.bancadelasoportunidades.com/contenido/contenido.aspx?catID=298&amp;conID=674" TargetMode="External"/><Relationship Id="rId28" Type="http://schemas.openxmlformats.org/officeDocument/2006/relationships/hyperlink" Target="http://espanol.doingbusiness.org/~/media/FPDKM/Doing%20Business/Documents/Subnational-Reports/DB10-Sub-Colombia-Spanish.pdf" TargetMode="External"/><Relationship Id="rId36"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yperlink" Target="http://www.asobancaria.com/portal/pls/portal/docs/1/4394507.PDF" TargetMode="External"/><Relationship Id="rId31" Type="http://schemas.openxmlformats.org/officeDocument/2006/relationships/hyperlink" Target="http://espanol.doingbusiness.org/~/media/GIAWB/Doing%20Business/Documents/Subnational-Reports/DB13-Colombia-Spanish.pdf"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asobancaria.com/portal/pls/portal/docs/1/4391781.PDF" TargetMode="External"/><Relationship Id="rId22" Type="http://schemas.openxmlformats.org/officeDocument/2006/relationships/hyperlink" Target="http://www.asobancaria.com/portal/pls/portal/docs/1/4484750.PDF" TargetMode="External"/><Relationship Id="rId27" Type="http://schemas.openxmlformats.org/officeDocument/2006/relationships/hyperlink" Target="http://www.banrep.gov.co/sites/default/files/publicaciones/archivos/ref_sep_2012.pdf" TargetMode="External"/><Relationship Id="rId30" Type="http://schemas.openxmlformats.org/officeDocument/2006/relationships/hyperlink" Target="http://repository.lasalle.edu.co/bitstream/handle/10185/12429/T10.09%20G4563m.pdf;jsessionid=BF26895C8FA5B0DA871E6B338978958B?sequence=1" TargetMode="External"/><Relationship Id="rId35" Type="http://schemas.openxmlformats.org/officeDocument/2006/relationships/hyperlink" Target="http://www.semana.com/nacion/articulo/44-millones-de-colombianos-han-salido-de-la-pobreza-gobierno/422041-3" TargetMode="External"/><Relationship Id="rId8" Type="http://schemas.openxmlformats.org/officeDocument/2006/relationships/chart" Target="charts/chart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LEY%20DE%20HABEAS%20DATA\Graficos%20Ley%20Habeas%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uanManuel\Desktop\LEY%20DE%20HABEAS%20DATA\Graficos%20Ley%20Habeas%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uanManuel\Desktop\LEY%20DE%20HABEAS%20DATA\Graficos%20Ley%20Habeas%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evin.henao\Downloads\Graficas%20%20Corregida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uanManuel\Desktop\LEY%20DE%20HABEAS%20DATA\Graficos%20Ley%20Habeas%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ENADO\Downloads\Graficas%20%20Corregidas%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CO"/>
              <a:t>Evolucion de la inclusion financiera y el</a:t>
            </a:r>
            <a:r>
              <a:rPr lang="es-CO" baseline="0"/>
              <a:t> nivel</a:t>
            </a:r>
            <a:r>
              <a:rPr lang="es-CO"/>
              <a:t> de bancarizacion (2007 - 2014)</a:t>
            </a:r>
          </a:p>
        </c:rich>
      </c:tx>
      <c:overlay val="0"/>
      <c:spPr>
        <a:noFill/>
        <a:ln>
          <a:noFill/>
        </a:ln>
        <a:effectLst/>
      </c:spPr>
    </c:title>
    <c:autoTitleDeleted val="0"/>
    <c:plotArea>
      <c:layout/>
      <c:barChart>
        <c:barDir val="col"/>
        <c:grouping val="clustered"/>
        <c:varyColors val="0"/>
        <c:ser>
          <c:idx val="0"/>
          <c:order val="0"/>
          <c:tx>
            <c:strRef>
              <c:f>Hoja1!$A$8</c:f>
              <c:strCache>
                <c:ptCount val="1"/>
                <c:pt idx="0">
                  <c:v># personas con acceso a un producto financiero</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Hoja1!$B$7:$I$7</c:f>
              <c:numCache>
                <c:formatCode>General</c:formatCode>
                <c:ptCount val="8"/>
                <c:pt idx="0">
                  <c:v>2007</c:v>
                </c:pt>
                <c:pt idx="1">
                  <c:v>2008</c:v>
                </c:pt>
                <c:pt idx="2">
                  <c:v>2009</c:v>
                </c:pt>
                <c:pt idx="3">
                  <c:v>2010</c:v>
                </c:pt>
                <c:pt idx="4">
                  <c:v>2011</c:v>
                </c:pt>
                <c:pt idx="5">
                  <c:v>2012</c:v>
                </c:pt>
                <c:pt idx="6">
                  <c:v>2013</c:v>
                </c:pt>
                <c:pt idx="7">
                  <c:v>2014</c:v>
                </c:pt>
              </c:numCache>
            </c:numRef>
          </c:cat>
          <c:val>
            <c:numRef>
              <c:f>Hoja1!$B$8:$I$8</c:f>
              <c:numCache>
                <c:formatCode>General</c:formatCode>
                <c:ptCount val="8"/>
                <c:pt idx="0">
                  <c:v>15520643</c:v>
                </c:pt>
                <c:pt idx="1">
                  <c:v>15945802</c:v>
                </c:pt>
                <c:pt idx="2">
                  <c:v>16370230</c:v>
                </c:pt>
                <c:pt idx="3">
                  <c:v>18145276</c:v>
                </c:pt>
                <c:pt idx="4">
                  <c:v>19641773</c:v>
                </c:pt>
                <c:pt idx="5">
                  <c:v>20827472</c:v>
                </c:pt>
                <c:pt idx="6">
                  <c:v>22593356</c:v>
                </c:pt>
                <c:pt idx="7">
                  <c:v>23312929</c:v>
                </c:pt>
              </c:numCache>
            </c:numRef>
          </c:val>
        </c:ser>
        <c:dLbls>
          <c:showLegendKey val="0"/>
          <c:showVal val="0"/>
          <c:showCatName val="0"/>
          <c:showSerName val="0"/>
          <c:showPercent val="0"/>
          <c:showBubbleSize val="0"/>
        </c:dLbls>
        <c:gapWidth val="75"/>
        <c:overlap val="40"/>
        <c:axId val="-1979265664"/>
        <c:axId val="-1979266208"/>
      </c:barChart>
      <c:lineChart>
        <c:grouping val="standard"/>
        <c:varyColors val="0"/>
        <c:ser>
          <c:idx val="1"/>
          <c:order val="1"/>
          <c:tx>
            <c:strRef>
              <c:f>Hoja1!$A$9</c:f>
              <c:strCache>
                <c:ptCount val="1"/>
                <c:pt idx="0">
                  <c:v>Nivel de Bancarizacion</c:v>
                </c:pt>
              </c:strCache>
            </c:strRef>
          </c:tx>
          <c:spPr>
            <a:ln w="34925" cap="rnd">
              <a:solidFill>
                <a:schemeClr val="accent2"/>
              </a:solidFill>
              <a:round/>
            </a:ln>
            <a:effectLst>
              <a:outerShdw blurRad="40000" dist="23000" dir="5400000" rotWithShape="0">
                <a:srgbClr val="000000">
                  <a:alpha val="35000"/>
                </a:srgbClr>
              </a:outerShdw>
            </a:effectLst>
          </c:spPr>
          <c:marker>
            <c:symbol val="none"/>
          </c:marker>
          <c:dLbls>
            <c:dLbl>
              <c:idx val="0"/>
              <c:layout>
                <c:manualLayout>
                  <c:x val="-7.0555032925682035E-3"/>
                  <c:y val="-2.127659574468085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7036688617120926E-3"/>
                  <c:y val="-2.55319148936170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4.2553023957111781E-2"/>
                </c:manualLayout>
              </c:layout>
              <c:showLegendKey val="0"/>
              <c:showVal val="1"/>
              <c:showCatName val="0"/>
              <c:showSerName val="0"/>
              <c:showPercent val="0"/>
              <c:showBubbleSize val="0"/>
              <c:extLst>
                <c:ext xmlns:c15="http://schemas.microsoft.com/office/drawing/2012/chart" uri="{CE6537A1-D6FC-4f65-9D91-7224C49458BB}">
                  <c15:layout>
                    <c:manualLayout>
                      <c:w val="6.6698024459078076E-2"/>
                      <c:h val="5.951080583012229E-2"/>
                    </c:manualLayout>
                  </c15:layout>
                </c:ext>
              </c:extLst>
            </c:dLbl>
            <c:dLbl>
              <c:idx val="3"/>
              <c:layout>
                <c:manualLayout>
                  <c:x val="0"/>
                  <c:y val="-4.255319148936170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6232932961189039E-17"/>
                  <c:y val="-3.829787234042557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4.255319148936174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7246586592237808E-16"/>
                  <c:y val="-3.4042553191489404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6462841015992474E-2"/>
                  <c:y val="-4.255319148936174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Hoja1!$B$7:$I$7</c:f>
              <c:numCache>
                <c:formatCode>General</c:formatCode>
                <c:ptCount val="8"/>
                <c:pt idx="0">
                  <c:v>2007</c:v>
                </c:pt>
                <c:pt idx="1">
                  <c:v>2008</c:v>
                </c:pt>
                <c:pt idx="2">
                  <c:v>2009</c:v>
                </c:pt>
                <c:pt idx="3">
                  <c:v>2010</c:v>
                </c:pt>
                <c:pt idx="4">
                  <c:v>2011</c:v>
                </c:pt>
                <c:pt idx="5">
                  <c:v>2012</c:v>
                </c:pt>
                <c:pt idx="6">
                  <c:v>2013</c:v>
                </c:pt>
                <c:pt idx="7">
                  <c:v>2014</c:v>
                </c:pt>
              </c:numCache>
            </c:numRef>
          </c:cat>
          <c:val>
            <c:numRef>
              <c:f>Hoja1!$B$9:$I$9</c:f>
              <c:numCache>
                <c:formatCode>0.0%</c:formatCode>
                <c:ptCount val="8"/>
                <c:pt idx="0">
                  <c:v>0.55200000000000005</c:v>
                </c:pt>
                <c:pt idx="1">
                  <c:v>0.55500000000000005</c:v>
                </c:pt>
                <c:pt idx="2">
                  <c:v>0.57299999999999995</c:v>
                </c:pt>
                <c:pt idx="3">
                  <c:v>0.622</c:v>
                </c:pt>
                <c:pt idx="4">
                  <c:v>0.64900000000000002</c:v>
                </c:pt>
                <c:pt idx="5">
                  <c:v>0.67200000000000004</c:v>
                </c:pt>
                <c:pt idx="6">
                  <c:v>0.71499999999999997</c:v>
                </c:pt>
                <c:pt idx="7">
                  <c:v>0.72499999999999998</c:v>
                </c:pt>
              </c:numCache>
            </c:numRef>
          </c:val>
          <c:smooth val="0"/>
        </c:ser>
        <c:dLbls>
          <c:showLegendKey val="0"/>
          <c:showVal val="0"/>
          <c:showCatName val="0"/>
          <c:showSerName val="0"/>
          <c:showPercent val="0"/>
          <c:showBubbleSize val="0"/>
        </c:dLbls>
        <c:marker val="1"/>
        <c:smooth val="0"/>
        <c:axId val="-1979264576"/>
        <c:axId val="-1979269472"/>
      </c:lineChart>
      <c:catAx>
        <c:axId val="-19792656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79266208"/>
        <c:crosses val="autoZero"/>
        <c:auto val="1"/>
        <c:lblAlgn val="ctr"/>
        <c:lblOffset val="100"/>
        <c:noMultiLvlLbl val="0"/>
      </c:catAx>
      <c:valAx>
        <c:axId val="-1979266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79265664"/>
        <c:crosses val="autoZero"/>
        <c:crossBetween val="between"/>
      </c:valAx>
      <c:valAx>
        <c:axId val="-1979269472"/>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79264576"/>
        <c:crosses val="max"/>
        <c:crossBetween val="between"/>
      </c:valAx>
      <c:catAx>
        <c:axId val="-1979264576"/>
        <c:scaling>
          <c:orientation val="minMax"/>
        </c:scaling>
        <c:delete val="1"/>
        <c:axPos val="b"/>
        <c:numFmt formatCode="General" sourceLinked="1"/>
        <c:majorTickMark val="none"/>
        <c:minorTickMark val="none"/>
        <c:tickLblPos val="nextTo"/>
        <c:crossAx val="-197926947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Hoja2!$A$3</c:f>
              <c:strCache>
                <c:ptCount val="1"/>
                <c:pt idx="0">
                  <c:v>Cuenta de Ahorro</c:v>
                </c:pt>
              </c:strCache>
            </c:strRef>
          </c:tx>
          <c:spPr>
            <a:solidFill>
              <a:schemeClr val="accent1"/>
            </a:solidFill>
            <a:ln>
              <a:noFill/>
            </a:ln>
            <a:effectLst/>
          </c:spPr>
          <c:invertIfNegative val="0"/>
          <c:cat>
            <c:numRef>
              <c:f>Hoja2!$B$2:$J$2</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Hoja2!$B$3:$J$3</c:f>
              <c:numCache>
                <c:formatCode>General</c:formatCode>
                <c:ptCount val="9"/>
                <c:pt idx="0">
                  <c:v>12787957</c:v>
                </c:pt>
                <c:pt idx="1">
                  <c:v>14896214</c:v>
                </c:pt>
                <c:pt idx="2">
                  <c:v>15223956</c:v>
                </c:pt>
                <c:pt idx="3">
                  <c:v>15683340</c:v>
                </c:pt>
                <c:pt idx="4">
                  <c:v>17494742</c:v>
                </c:pt>
                <c:pt idx="5">
                  <c:v>18551419</c:v>
                </c:pt>
                <c:pt idx="6">
                  <c:v>19436986</c:v>
                </c:pt>
                <c:pt idx="7">
                  <c:v>20780234</c:v>
                </c:pt>
                <c:pt idx="8">
                  <c:v>21744430</c:v>
                </c:pt>
              </c:numCache>
            </c:numRef>
          </c:val>
        </c:ser>
        <c:ser>
          <c:idx val="1"/>
          <c:order val="1"/>
          <c:tx>
            <c:strRef>
              <c:f>Hoja2!$A$4</c:f>
              <c:strCache>
                <c:ptCount val="1"/>
                <c:pt idx="0">
                  <c:v>Cuenta Corriente</c:v>
                </c:pt>
              </c:strCache>
            </c:strRef>
          </c:tx>
          <c:spPr>
            <a:solidFill>
              <a:schemeClr val="accent2"/>
            </a:solidFill>
            <a:ln>
              <a:noFill/>
            </a:ln>
            <a:effectLst/>
          </c:spPr>
          <c:invertIfNegative val="0"/>
          <c:cat>
            <c:numRef>
              <c:f>Hoja2!$B$2:$J$2</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Hoja2!$B$4:$J$4</c:f>
              <c:numCache>
                <c:formatCode>General</c:formatCode>
                <c:ptCount val="9"/>
                <c:pt idx="0">
                  <c:v>1371885</c:v>
                </c:pt>
                <c:pt idx="1">
                  <c:v>1479985</c:v>
                </c:pt>
                <c:pt idx="2">
                  <c:v>1514820</c:v>
                </c:pt>
                <c:pt idx="3">
                  <c:v>1290427</c:v>
                </c:pt>
                <c:pt idx="4">
                  <c:v>1399970</c:v>
                </c:pt>
                <c:pt idx="5">
                  <c:v>1451619</c:v>
                </c:pt>
                <c:pt idx="6">
                  <c:v>1508370</c:v>
                </c:pt>
                <c:pt idx="7">
                  <c:v>1535806</c:v>
                </c:pt>
                <c:pt idx="8">
                  <c:v>1550224</c:v>
                </c:pt>
              </c:numCache>
            </c:numRef>
          </c:val>
        </c:ser>
        <c:ser>
          <c:idx val="2"/>
          <c:order val="2"/>
          <c:tx>
            <c:strRef>
              <c:f>Hoja2!$A$5</c:f>
              <c:strCache>
                <c:ptCount val="1"/>
                <c:pt idx="0">
                  <c:v>Credito de Consumo</c:v>
                </c:pt>
              </c:strCache>
            </c:strRef>
          </c:tx>
          <c:spPr>
            <a:solidFill>
              <a:schemeClr val="accent3"/>
            </a:solidFill>
            <a:ln>
              <a:noFill/>
            </a:ln>
            <a:effectLst/>
          </c:spPr>
          <c:invertIfNegative val="0"/>
          <c:cat>
            <c:numRef>
              <c:f>Hoja2!$B$2:$J$2</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Hoja2!$B$5:$J$5</c:f>
              <c:numCache>
                <c:formatCode>General</c:formatCode>
                <c:ptCount val="9"/>
                <c:pt idx="0">
                  <c:v>2443676</c:v>
                </c:pt>
                <c:pt idx="1">
                  <c:v>3692860</c:v>
                </c:pt>
                <c:pt idx="2">
                  <c:v>4273141</c:v>
                </c:pt>
                <c:pt idx="3">
                  <c:v>3604856</c:v>
                </c:pt>
                <c:pt idx="4">
                  <c:v>4083448</c:v>
                </c:pt>
                <c:pt idx="5">
                  <c:v>4349594</c:v>
                </c:pt>
                <c:pt idx="6">
                  <c:v>4728650</c:v>
                </c:pt>
                <c:pt idx="7">
                  <c:v>5171869</c:v>
                </c:pt>
                <c:pt idx="8">
                  <c:v>5564654</c:v>
                </c:pt>
              </c:numCache>
            </c:numRef>
          </c:val>
        </c:ser>
        <c:ser>
          <c:idx val="3"/>
          <c:order val="3"/>
          <c:tx>
            <c:strRef>
              <c:f>Hoja2!$A$6</c:f>
              <c:strCache>
                <c:ptCount val="1"/>
                <c:pt idx="0">
                  <c:v>Credito de Vivienda</c:v>
                </c:pt>
              </c:strCache>
            </c:strRef>
          </c:tx>
          <c:spPr>
            <a:solidFill>
              <a:schemeClr val="accent4"/>
            </a:solidFill>
            <a:ln>
              <a:noFill/>
            </a:ln>
            <a:effectLst/>
          </c:spPr>
          <c:invertIfNegative val="0"/>
          <c:cat>
            <c:numRef>
              <c:f>Hoja2!$B$2:$J$2</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Hoja2!$B$6:$J$6</c:f>
              <c:numCache>
                <c:formatCode>General</c:formatCode>
                <c:ptCount val="9"/>
                <c:pt idx="0">
                  <c:v>535873</c:v>
                </c:pt>
                <c:pt idx="1">
                  <c:v>511620</c:v>
                </c:pt>
                <c:pt idx="2">
                  <c:v>600821</c:v>
                </c:pt>
                <c:pt idx="3">
                  <c:v>638167</c:v>
                </c:pt>
                <c:pt idx="4">
                  <c:v>691527</c:v>
                </c:pt>
                <c:pt idx="5">
                  <c:v>731370</c:v>
                </c:pt>
                <c:pt idx="6">
                  <c:v>779813</c:v>
                </c:pt>
                <c:pt idx="7">
                  <c:v>837387</c:v>
                </c:pt>
                <c:pt idx="8">
                  <c:v>927065</c:v>
                </c:pt>
              </c:numCache>
            </c:numRef>
          </c:val>
        </c:ser>
        <c:ser>
          <c:idx val="4"/>
          <c:order val="4"/>
          <c:tx>
            <c:strRef>
              <c:f>Hoja2!$A$7</c:f>
              <c:strCache>
                <c:ptCount val="1"/>
                <c:pt idx="0">
                  <c:v>Microcredito</c:v>
                </c:pt>
              </c:strCache>
            </c:strRef>
          </c:tx>
          <c:spPr>
            <a:solidFill>
              <a:schemeClr val="accent5"/>
            </a:solidFill>
            <a:ln>
              <a:noFill/>
            </a:ln>
            <a:effectLst/>
          </c:spPr>
          <c:invertIfNegative val="0"/>
          <c:cat>
            <c:numRef>
              <c:f>Hoja2!$B$2:$J$2</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Hoja2!$B$7:$J$7</c:f>
              <c:numCache>
                <c:formatCode>General</c:formatCode>
                <c:ptCount val="9"/>
                <c:pt idx="0">
                  <c:v>630855</c:v>
                </c:pt>
                <c:pt idx="1">
                  <c:v>612509</c:v>
                </c:pt>
                <c:pt idx="2">
                  <c:v>712099</c:v>
                </c:pt>
                <c:pt idx="3">
                  <c:v>1077185</c:v>
                </c:pt>
                <c:pt idx="4">
                  <c:v>1175393</c:v>
                </c:pt>
                <c:pt idx="5">
                  <c:v>1534716</c:v>
                </c:pt>
                <c:pt idx="6">
                  <c:v>1724809</c:v>
                </c:pt>
                <c:pt idx="7">
                  <c:v>1790968</c:v>
                </c:pt>
                <c:pt idx="8">
                  <c:v>1850616</c:v>
                </c:pt>
              </c:numCache>
            </c:numRef>
          </c:val>
        </c:ser>
        <c:ser>
          <c:idx val="5"/>
          <c:order val="5"/>
          <c:tx>
            <c:strRef>
              <c:f>Hoja2!$A$8</c:f>
              <c:strCache>
                <c:ptCount val="1"/>
                <c:pt idx="0">
                  <c:v>Tarjeta de Credito</c:v>
                </c:pt>
              </c:strCache>
            </c:strRef>
          </c:tx>
          <c:spPr>
            <a:solidFill>
              <a:schemeClr val="accent6"/>
            </a:solidFill>
            <a:ln>
              <a:noFill/>
            </a:ln>
            <a:effectLst/>
          </c:spPr>
          <c:invertIfNegative val="0"/>
          <c:cat>
            <c:numRef>
              <c:f>Hoja2!$B$2:$J$2</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Hoja2!$B$8:$J$8</c:f>
              <c:numCache>
                <c:formatCode>General</c:formatCode>
                <c:ptCount val="9"/>
                <c:pt idx="0">
                  <c:v>3084186</c:v>
                </c:pt>
                <c:pt idx="1">
                  <c:v>3653150</c:v>
                </c:pt>
                <c:pt idx="2">
                  <c:v>3889043</c:v>
                </c:pt>
                <c:pt idx="3">
                  <c:v>4709192</c:v>
                </c:pt>
                <c:pt idx="4">
                  <c:v>5201395</c:v>
                </c:pt>
                <c:pt idx="5">
                  <c:v>5530896</c:v>
                </c:pt>
                <c:pt idx="6">
                  <c:v>5975863</c:v>
                </c:pt>
                <c:pt idx="7">
                  <c:v>6667433</c:v>
                </c:pt>
                <c:pt idx="8">
                  <c:v>6806596</c:v>
                </c:pt>
              </c:numCache>
            </c:numRef>
          </c:val>
        </c:ser>
        <c:dLbls>
          <c:showLegendKey val="0"/>
          <c:showVal val="0"/>
          <c:showCatName val="0"/>
          <c:showSerName val="0"/>
          <c:showPercent val="0"/>
          <c:showBubbleSize val="0"/>
        </c:dLbls>
        <c:gapWidth val="75"/>
        <c:overlap val="100"/>
        <c:axId val="-205791888"/>
        <c:axId val="-1984318960"/>
      </c:barChart>
      <c:catAx>
        <c:axId val="-205791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Evolucion de los principales productos financieros</a:t>
                </a:r>
              </a:p>
              <a:p>
                <a:pPr>
                  <a:defRPr sz="1000" b="0" i="0" u="none" strike="noStrike" kern="1200" baseline="0">
                    <a:solidFill>
                      <a:schemeClr val="tx1">
                        <a:lumMod val="65000"/>
                        <a:lumOff val="35000"/>
                      </a:schemeClr>
                    </a:solidFill>
                    <a:latin typeface="+mn-lt"/>
                    <a:ea typeface="+mn-ea"/>
                    <a:cs typeface="+mn-cs"/>
                  </a:defRPr>
                </a:pPr>
                <a:r>
                  <a:rPr lang="es-CO"/>
                  <a:t>(2006 - 2014)</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84318960"/>
        <c:crosses val="autoZero"/>
        <c:auto val="1"/>
        <c:lblAlgn val="ctr"/>
        <c:lblOffset val="100"/>
        <c:noMultiLvlLbl val="0"/>
      </c:catAx>
      <c:valAx>
        <c:axId val="-1984318960"/>
        <c:scaling>
          <c:orientation val="minMax"/>
          <c:max val="45000000"/>
          <c:min val="5000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57918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CO"/>
              <a:t>Tasas de Crecimiento principales productos financieros</a:t>
            </a:r>
          </a:p>
          <a:p>
            <a:pPr>
              <a:defRPr sz="1600" b="1" i="0" u="none" strike="noStrike" kern="1200" baseline="0">
                <a:solidFill>
                  <a:schemeClr val="tx2"/>
                </a:solidFill>
                <a:latin typeface="+mn-lt"/>
                <a:ea typeface="+mn-ea"/>
                <a:cs typeface="+mn-cs"/>
              </a:defRPr>
            </a:pPr>
            <a:r>
              <a:rPr lang="es-CO"/>
              <a:t>(2006 - 2013)</a:t>
            </a:r>
          </a:p>
        </c:rich>
      </c:tx>
      <c:overlay val="0"/>
      <c:spPr>
        <a:noFill/>
        <a:ln>
          <a:noFill/>
        </a:ln>
        <a:effectLst/>
      </c:spPr>
    </c:title>
    <c:autoTitleDeleted val="0"/>
    <c:plotArea>
      <c:layout/>
      <c:barChart>
        <c:barDir val="bar"/>
        <c:grouping val="clustered"/>
        <c:varyColors val="0"/>
        <c:ser>
          <c:idx val="0"/>
          <c:order val="0"/>
          <c:tx>
            <c:strRef>
              <c:f>Hoja2!$A$12</c:f>
              <c:strCache>
                <c:ptCount val="1"/>
                <c:pt idx="0">
                  <c:v>Cuentas de Ahorro</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layout>
                <c:manualLayout>
                  <c:x val="-7.8472430380091133E-17"/>
                  <c:y val="1.515151515151515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420545746388443E-3"/>
                  <c:y val="1.515151515151515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1401819154628536E-3"/>
                  <c:y val="1.010101010101010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2803638309256284E-3"/>
                  <c:y val="1.010101010101010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Hoja2!$B$10:$E$11</c:f>
              <c:strCache>
                <c:ptCount val="4"/>
                <c:pt idx="0">
                  <c:v>2006 -2007</c:v>
                </c:pt>
                <c:pt idx="1">
                  <c:v>2008 - 2009</c:v>
                </c:pt>
                <c:pt idx="2">
                  <c:v>2010 - 2011</c:v>
                </c:pt>
                <c:pt idx="3">
                  <c:v>2012 - 2013</c:v>
                </c:pt>
              </c:strCache>
            </c:strRef>
          </c:cat>
          <c:val>
            <c:numRef>
              <c:f>Hoja2!$B$12:$E$12</c:f>
              <c:numCache>
                <c:formatCode>0.0%</c:formatCode>
                <c:ptCount val="4"/>
                <c:pt idx="0">
                  <c:v>0.16486269073316404</c:v>
                </c:pt>
                <c:pt idx="1">
                  <c:v>3.0175074074044881E-2</c:v>
                </c:pt>
                <c:pt idx="2">
                  <c:v>6.0399690375542547E-2</c:v>
                </c:pt>
                <c:pt idx="3">
                  <c:v>6.9107833899762036E-2</c:v>
                </c:pt>
              </c:numCache>
            </c:numRef>
          </c:val>
        </c:ser>
        <c:ser>
          <c:idx val="1"/>
          <c:order val="1"/>
          <c:tx>
            <c:strRef>
              <c:f>Hoja2!$A$13</c:f>
              <c:strCache>
                <c:ptCount val="1"/>
                <c:pt idx="0">
                  <c:v>Credito de Consumo</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1"/>
              <c:layout>
                <c:manualLayout>
                  <c:x val="-6.420545746388443E-3"/>
                  <c:y val="1.515151515151515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0700909577314071E-2"/>
                  <c:y val="1.515151515151510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Hoja2!$B$10:$E$11</c:f>
              <c:strCache>
                <c:ptCount val="4"/>
                <c:pt idx="0">
                  <c:v>2006 -2007</c:v>
                </c:pt>
                <c:pt idx="1">
                  <c:v>2008 - 2009</c:v>
                </c:pt>
                <c:pt idx="2">
                  <c:v>2010 - 2011</c:v>
                </c:pt>
                <c:pt idx="3">
                  <c:v>2012 - 2013</c:v>
                </c:pt>
              </c:strCache>
            </c:strRef>
          </c:cat>
          <c:val>
            <c:numRef>
              <c:f>Hoja2!$B$13:$E$13</c:f>
              <c:numCache>
                <c:formatCode>0.0%</c:formatCode>
                <c:ptCount val="4"/>
                <c:pt idx="0">
                  <c:v>0.51119051789189729</c:v>
                </c:pt>
                <c:pt idx="1">
                  <c:v>6.2158280086747966E-2</c:v>
                </c:pt>
                <c:pt idx="2">
                  <c:v>0.13276313949849869</c:v>
                </c:pt>
                <c:pt idx="3">
                  <c:v>9.3730557347234414E-2</c:v>
                </c:pt>
              </c:numCache>
            </c:numRef>
          </c:val>
        </c:ser>
        <c:ser>
          <c:idx val="2"/>
          <c:order val="2"/>
          <c:tx>
            <c:strRef>
              <c:f>Hoja2!$A$14</c:f>
              <c:strCache>
                <c:ptCount val="1"/>
                <c:pt idx="0">
                  <c:v>Tarjeta de Credito</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3"/>
              <c:layout>
                <c:manualLayout>
                  <c:x val="0"/>
                  <c:y val="-2.525252525252525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Hoja2!$B$10:$E$11</c:f>
              <c:strCache>
                <c:ptCount val="4"/>
                <c:pt idx="0">
                  <c:v>2006 -2007</c:v>
                </c:pt>
                <c:pt idx="1">
                  <c:v>2008 - 2009</c:v>
                </c:pt>
                <c:pt idx="2">
                  <c:v>2010 - 2011</c:v>
                </c:pt>
                <c:pt idx="3">
                  <c:v>2012 - 2013</c:v>
                </c:pt>
              </c:strCache>
            </c:strRef>
          </c:cat>
          <c:val>
            <c:numRef>
              <c:f>Hoja2!$B$14:$E$14</c:f>
              <c:numCache>
                <c:formatCode>0.0%</c:formatCode>
                <c:ptCount val="4"/>
                <c:pt idx="0">
                  <c:v>0.18447784926071256</c:v>
                </c:pt>
                <c:pt idx="1">
                  <c:v>0.21088709998835189</c:v>
                </c:pt>
                <c:pt idx="2">
                  <c:v>6.334858244759338E-2</c:v>
                </c:pt>
                <c:pt idx="3">
                  <c:v>0.11572721797671734</c:v>
                </c:pt>
              </c:numCache>
            </c:numRef>
          </c:val>
        </c:ser>
        <c:dLbls>
          <c:showLegendKey val="0"/>
          <c:showVal val="1"/>
          <c:showCatName val="0"/>
          <c:showSerName val="0"/>
          <c:showPercent val="0"/>
          <c:showBubbleSize val="0"/>
        </c:dLbls>
        <c:gapWidth val="100"/>
        <c:axId val="-1984321680"/>
        <c:axId val="-1984323312"/>
      </c:barChart>
      <c:catAx>
        <c:axId val="-198432168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984323312"/>
        <c:crosses val="autoZero"/>
        <c:auto val="1"/>
        <c:lblAlgn val="ctr"/>
        <c:lblOffset val="100"/>
        <c:noMultiLvlLbl val="0"/>
      </c:catAx>
      <c:valAx>
        <c:axId val="-1984323312"/>
        <c:scaling>
          <c:orientation val="minMax"/>
        </c:scaling>
        <c:delete val="0"/>
        <c:axPos val="b"/>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984321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Evolucion de los corresponsales Bancarios</a:t>
            </a:r>
          </a:p>
        </c:rich>
      </c:tx>
      <c:overlay val="0"/>
      <c:spPr>
        <a:noFill/>
        <a:ln>
          <a:noFill/>
        </a:ln>
        <a:effectLst/>
      </c:spPr>
    </c:title>
    <c:autoTitleDeleted val="0"/>
    <c:plotArea>
      <c:layout/>
      <c:barChart>
        <c:barDir val="col"/>
        <c:grouping val="clustered"/>
        <c:varyColors val="0"/>
        <c:ser>
          <c:idx val="0"/>
          <c:order val="0"/>
          <c:tx>
            <c:strRef>
              <c:f>'C:\Users\kevin.henao\Downloads\LEY DE HABEAS DATA\[Graficos Ley Habeas Data.xlsx]Hoja2'!$C$38</c:f>
              <c:strCache>
                <c:ptCount val="1"/>
                <c:pt idx="0">
                  <c:v>Corresponsales Bancarios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6"/>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ln>
              <a:effectLst/>
            </c:spPr>
            <c:trendlineType val="exp"/>
            <c:dispRSqr val="1"/>
            <c:dispEq val="0"/>
            <c:trendlineLbl>
              <c:numFmt formatCode="General" sourceLinked="0"/>
            </c:trendlineLbl>
          </c:trendline>
          <c:cat>
            <c:numRef>
              <c:f>'C:\Users\kevin.henao\Downloads\LEY DE HABEAS DATA\[Graficos Ley Habeas Data.xlsx]Hoja2'!$D$37:$J$37</c:f>
              <c:numCache>
                <c:formatCode>General</c:formatCode>
                <c:ptCount val="7"/>
                <c:pt idx="0">
                  <c:v>2008</c:v>
                </c:pt>
                <c:pt idx="1">
                  <c:v>2009</c:v>
                </c:pt>
                <c:pt idx="2">
                  <c:v>2010</c:v>
                </c:pt>
                <c:pt idx="3">
                  <c:v>2011</c:v>
                </c:pt>
                <c:pt idx="4">
                  <c:v>2012</c:v>
                </c:pt>
                <c:pt idx="5">
                  <c:v>2013</c:v>
                </c:pt>
                <c:pt idx="6">
                  <c:v>2014</c:v>
                </c:pt>
              </c:numCache>
            </c:numRef>
          </c:cat>
          <c:val>
            <c:numRef>
              <c:f>'C:\Users\kevin.henao\Downloads\LEY DE HABEAS DATA\[Graficos Ley Habeas Data.xlsx]Hoja2'!$D$38:$J$38</c:f>
              <c:numCache>
                <c:formatCode>General</c:formatCode>
                <c:ptCount val="7"/>
                <c:pt idx="0">
                  <c:v>4880</c:v>
                </c:pt>
                <c:pt idx="1">
                  <c:v>5618</c:v>
                </c:pt>
                <c:pt idx="2">
                  <c:v>9704</c:v>
                </c:pt>
                <c:pt idx="3">
                  <c:v>19938</c:v>
                </c:pt>
                <c:pt idx="4">
                  <c:v>34209</c:v>
                </c:pt>
                <c:pt idx="5">
                  <c:v>49181</c:v>
                </c:pt>
                <c:pt idx="6">
                  <c:v>50746</c:v>
                </c:pt>
              </c:numCache>
            </c:numRef>
          </c:val>
        </c:ser>
        <c:dLbls>
          <c:dLblPos val="outEnd"/>
          <c:showLegendKey val="0"/>
          <c:showVal val="1"/>
          <c:showCatName val="0"/>
          <c:showSerName val="0"/>
          <c:showPercent val="0"/>
          <c:showBubbleSize val="0"/>
        </c:dLbls>
        <c:gapWidth val="150"/>
        <c:axId val="-1984324944"/>
        <c:axId val="-1984318416"/>
      </c:barChart>
      <c:catAx>
        <c:axId val="-19843249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84318416"/>
        <c:crosses val="autoZero"/>
        <c:auto val="1"/>
        <c:lblAlgn val="ctr"/>
        <c:lblOffset val="100"/>
        <c:noMultiLvlLbl val="0"/>
      </c:catAx>
      <c:valAx>
        <c:axId val="-1984318416"/>
        <c:scaling>
          <c:orientation val="minMax"/>
          <c:min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corresponsales</a:t>
                </a:r>
                <a:r>
                  <a:rPr lang="es-CO" baseline="0"/>
                  <a:t> bancarios (miles)</a:t>
                </a:r>
                <a:endParaRPr lang="es-CO"/>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84324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300"/>
              <a:t>Nivel</a:t>
            </a:r>
            <a:r>
              <a:rPr lang="es-CO" sz="1300" baseline="0"/>
              <a:t> de Bancarizacion y Evolucion del Microcredito</a:t>
            </a:r>
          </a:p>
          <a:p>
            <a:pPr>
              <a:defRPr sz="1400" b="0" i="0" u="none" strike="noStrike" kern="1200" spc="0" baseline="0">
                <a:solidFill>
                  <a:schemeClr val="tx1">
                    <a:lumMod val="65000"/>
                    <a:lumOff val="35000"/>
                  </a:schemeClr>
                </a:solidFill>
                <a:latin typeface="+mn-lt"/>
                <a:ea typeface="+mn-ea"/>
                <a:cs typeface="+mn-cs"/>
              </a:defRPr>
            </a:pPr>
            <a:r>
              <a:rPr lang="es-CO" sz="1300" baseline="0"/>
              <a:t>(2004 - 2014)</a:t>
            </a:r>
            <a:endParaRPr lang="es-CO" sz="1300"/>
          </a:p>
        </c:rich>
      </c:tx>
      <c:overlay val="0"/>
      <c:spPr>
        <a:noFill/>
        <a:ln>
          <a:noFill/>
        </a:ln>
        <a:effectLst/>
      </c:spPr>
    </c:title>
    <c:autoTitleDeleted val="0"/>
    <c:plotArea>
      <c:layout/>
      <c:barChart>
        <c:barDir val="col"/>
        <c:grouping val="clustered"/>
        <c:varyColors val="0"/>
        <c:ser>
          <c:idx val="0"/>
          <c:order val="0"/>
          <c:tx>
            <c:strRef>
              <c:f>Hoja1!$A$38</c:f>
              <c:strCache>
                <c:ptCount val="1"/>
                <c:pt idx="0">
                  <c:v>Nivel de Bancarizacion</c:v>
                </c:pt>
              </c:strCache>
            </c:strRef>
          </c:tx>
          <c:spPr>
            <a:solidFill>
              <a:schemeClr val="accent1"/>
            </a:solidFill>
            <a:ln>
              <a:noFill/>
            </a:ln>
            <a:effectLst/>
          </c:spPr>
          <c:invertIfNegative val="0"/>
          <c:cat>
            <c:numRef>
              <c:f>Hoja1!$B$37:$L$37</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Hoja1!$B$38:$L$38</c:f>
              <c:numCache>
                <c:formatCode>0.0%</c:formatCode>
                <c:ptCount val="11"/>
                <c:pt idx="0">
                  <c:v>0.247</c:v>
                </c:pt>
                <c:pt idx="1">
                  <c:v>0.25900000000000001</c:v>
                </c:pt>
                <c:pt idx="2">
                  <c:v>0.315</c:v>
                </c:pt>
                <c:pt idx="3">
                  <c:v>0.55200000000000005</c:v>
                </c:pt>
                <c:pt idx="4">
                  <c:v>0.55500000000000005</c:v>
                </c:pt>
                <c:pt idx="5">
                  <c:v>0.57299999999999995</c:v>
                </c:pt>
                <c:pt idx="6">
                  <c:v>0.622</c:v>
                </c:pt>
                <c:pt idx="7">
                  <c:v>0.64900000000000002</c:v>
                </c:pt>
                <c:pt idx="8">
                  <c:v>0.67200000000000004</c:v>
                </c:pt>
                <c:pt idx="9">
                  <c:v>0.71499999999999997</c:v>
                </c:pt>
                <c:pt idx="10">
                  <c:v>0.72499999999999998</c:v>
                </c:pt>
              </c:numCache>
            </c:numRef>
          </c:val>
        </c:ser>
        <c:dLbls>
          <c:showLegendKey val="0"/>
          <c:showVal val="0"/>
          <c:showCatName val="0"/>
          <c:showSerName val="0"/>
          <c:showPercent val="0"/>
          <c:showBubbleSize val="0"/>
        </c:dLbls>
        <c:gapWidth val="219"/>
        <c:overlap val="-27"/>
        <c:axId val="-1984323856"/>
        <c:axId val="-1984321136"/>
      </c:barChart>
      <c:lineChart>
        <c:grouping val="standard"/>
        <c:varyColors val="0"/>
        <c:ser>
          <c:idx val="1"/>
          <c:order val="1"/>
          <c:tx>
            <c:strRef>
              <c:f>Hoja1!$A$39</c:f>
              <c:strCache>
                <c:ptCount val="1"/>
                <c:pt idx="0">
                  <c:v>Microcredito</c:v>
                </c:pt>
              </c:strCache>
            </c:strRef>
          </c:tx>
          <c:spPr>
            <a:ln w="28575" cap="rnd">
              <a:solidFill>
                <a:schemeClr val="accent2"/>
              </a:solidFill>
              <a:round/>
            </a:ln>
            <a:effectLst/>
          </c:spPr>
          <c:marker>
            <c:symbol val="none"/>
          </c:marker>
          <c:cat>
            <c:numRef>
              <c:f>Hoja1!$B$37:$L$37</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Hoja1!$B$39:$L$39</c:f>
              <c:numCache>
                <c:formatCode>General</c:formatCode>
                <c:ptCount val="11"/>
                <c:pt idx="0">
                  <c:v>570854</c:v>
                </c:pt>
                <c:pt idx="1">
                  <c:v>600456</c:v>
                </c:pt>
                <c:pt idx="2">
                  <c:v>630855</c:v>
                </c:pt>
                <c:pt idx="3">
                  <c:v>612509</c:v>
                </c:pt>
                <c:pt idx="4">
                  <c:v>712099</c:v>
                </c:pt>
                <c:pt idx="5">
                  <c:v>1077185</c:v>
                </c:pt>
                <c:pt idx="6">
                  <c:v>1175393</c:v>
                </c:pt>
                <c:pt idx="7">
                  <c:v>1534716</c:v>
                </c:pt>
                <c:pt idx="8">
                  <c:v>1724809</c:v>
                </c:pt>
                <c:pt idx="9">
                  <c:v>1790968</c:v>
                </c:pt>
                <c:pt idx="10">
                  <c:v>1850616</c:v>
                </c:pt>
              </c:numCache>
            </c:numRef>
          </c:val>
          <c:smooth val="0"/>
        </c:ser>
        <c:dLbls>
          <c:showLegendKey val="0"/>
          <c:showVal val="0"/>
          <c:showCatName val="0"/>
          <c:showSerName val="0"/>
          <c:showPercent val="0"/>
          <c:showBubbleSize val="0"/>
        </c:dLbls>
        <c:marker val="1"/>
        <c:smooth val="0"/>
        <c:axId val="-1984673120"/>
        <c:axId val="-1984320592"/>
      </c:lineChart>
      <c:catAx>
        <c:axId val="-198432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84321136"/>
        <c:crosses val="autoZero"/>
        <c:auto val="1"/>
        <c:lblAlgn val="ctr"/>
        <c:lblOffset val="100"/>
        <c:noMultiLvlLbl val="0"/>
      </c:catAx>
      <c:valAx>
        <c:axId val="-19843211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84323856"/>
        <c:crosses val="autoZero"/>
        <c:crossBetween val="between"/>
      </c:valAx>
      <c:valAx>
        <c:axId val="-198432059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84673120"/>
        <c:crosses val="max"/>
        <c:crossBetween val="between"/>
      </c:valAx>
      <c:catAx>
        <c:axId val="-1984673120"/>
        <c:scaling>
          <c:orientation val="minMax"/>
        </c:scaling>
        <c:delete val="1"/>
        <c:axPos val="b"/>
        <c:numFmt formatCode="General" sourceLinked="1"/>
        <c:majorTickMark val="out"/>
        <c:minorTickMark val="none"/>
        <c:tickLblPos val="nextTo"/>
        <c:crossAx val="-198432059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200" b="0" i="0" baseline="0">
                <a:effectLst/>
              </a:rPr>
              <a:t>Evolucion del Microcrédito y la  Incidencia de Pobreza</a:t>
            </a:r>
            <a:endParaRPr lang="es-CO" sz="1200">
              <a:effectLst/>
            </a:endParaRPr>
          </a:p>
          <a:p>
            <a:pPr>
              <a:defRPr sz="1400" b="0" i="0" u="none" strike="noStrike" kern="1200" spc="0" baseline="0">
                <a:solidFill>
                  <a:schemeClr val="tx1">
                    <a:lumMod val="65000"/>
                    <a:lumOff val="35000"/>
                  </a:schemeClr>
                </a:solidFill>
                <a:latin typeface="+mn-lt"/>
                <a:ea typeface="+mn-ea"/>
                <a:cs typeface="+mn-cs"/>
              </a:defRPr>
            </a:pPr>
            <a:r>
              <a:rPr lang="es-CO" sz="1200" b="0" i="0" baseline="0">
                <a:effectLst/>
              </a:rPr>
              <a:t>(2004 - 2014)</a:t>
            </a:r>
            <a:endParaRPr lang="es-CO" sz="1200">
              <a:effectLst/>
            </a:endParaRPr>
          </a:p>
          <a:p>
            <a:pPr>
              <a:defRPr sz="1400" b="0" i="0" u="none" strike="noStrike" kern="1200" spc="0" baseline="0">
                <a:solidFill>
                  <a:schemeClr val="tx1">
                    <a:lumMod val="65000"/>
                    <a:lumOff val="35000"/>
                  </a:schemeClr>
                </a:solidFill>
                <a:latin typeface="+mn-lt"/>
                <a:ea typeface="+mn-ea"/>
                <a:cs typeface="+mn-cs"/>
              </a:defRPr>
            </a:pPr>
            <a:endParaRPr lang="es-CO"/>
          </a:p>
        </c:rich>
      </c:tx>
      <c:overlay val="0"/>
      <c:spPr>
        <a:noFill/>
        <a:ln>
          <a:noFill/>
        </a:ln>
        <a:effectLst/>
      </c:spPr>
    </c:title>
    <c:autoTitleDeleted val="0"/>
    <c:plotArea>
      <c:layout/>
      <c:barChart>
        <c:barDir val="col"/>
        <c:grouping val="clustered"/>
        <c:varyColors val="0"/>
        <c:ser>
          <c:idx val="0"/>
          <c:order val="0"/>
          <c:tx>
            <c:strRef>
              <c:f>'[Graficas  Corregidas (1).xlsx]Hoja1'!$B$4</c:f>
              <c:strCache>
                <c:ptCount val="1"/>
                <c:pt idx="0">
                  <c:v>Microcredito</c:v>
                </c:pt>
              </c:strCache>
            </c:strRef>
          </c:tx>
          <c:spPr>
            <a:solidFill>
              <a:schemeClr val="accent1"/>
            </a:solidFill>
            <a:ln>
              <a:noFill/>
            </a:ln>
            <a:effectLst/>
          </c:spPr>
          <c:invertIfNegative val="0"/>
          <c:cat>
            <c:numRef>
              <c:f>'[Graficas  Corregidas (1).xlsx]Hoja1'!$C$3:$M$3</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'[Graficas  Corregidas (1).xlsx]Hoja1'!$C$4:$M$4</c:f>
              <c:numCache>
                <c:formatCode>General</c:formatCode>
                <c:ptCount val="11"/>
                <c:pt idx="0">
                  <c:v>570854</c:v>
                </c:pt>
                <c:pt idx="1">
                  <c:v>600456</c:v>
                </c:pt>
                <c:pt idx="2">
                  <c:v>630855</c:v>
                </c:pt>
                <c:pt idx="3">
                  <c:v>612509</c:v>
                </c:pt>
                <c:pt idx="4">
                  <c:v>712099</c:v>
                </c:pt>
                <c:pt idx="5">
                  <c:v>1077185</c:v>
                </c:pt>
                <c:pt idx="6">
                  <c:v>1175393</c:v>
                </c:pt>
                <c:pt idx="7">
                  <c:v>1534716</c:v>
                </c:pt>
                <c:pt idx="8">
                  <c:v>1724809</c:v>
                </c:pt>
                <c:pt idx="9">
                  <c:v>1790968</c:v>
                </c:pt>
                <c:pt idx="10">
                  <c:v>1850616</c:v>
                </c:pt>
              </c:numCache>
            </c:numRef>
          </c:val>
        </c:ser>
        <c:dLbls>
          <c:showLegendKey val="0"/>
          <c:showVal val="0"/>
          <c:showCatName val="0"/>
          <c:showSerName val="0"/>
          <c:showPercent val="0"/>
          <c:showBubbleSize val="0"/>
        </c:dLbls>
        <c:gapWidth val="219"/>
        <c:overlap val="-27"/>
        <c:axId val="-1984666048"/>
        <c:axId val="-1984667136"/>
      </c:barChart>
      <c:lineChart>
        <c:grouping val="standard"/>
        <c:varyColors val="0"/>
        <c:ser>
          <c:idx val="1"/>
          <c:order val="1"/>
          <c:tx>
            <c:strRef>
              <c:f>'[Graficas  Corregidas (1).xlsx]Hoja1'!$B$5</c:f>
              <c:strCache>
                <c:ptCount val="1"/>
                <c:pt idx="0">
                  <c:v>Incidencia en Pobreza</c:v>
                </c:pt>
              </c:strCache>
            </c:strRef>
          </c:tx>
          <c:spPr>
            <a:ln w="28575" cap="rnd">
              <a:solidFill>
                <a:schemeClr val="accent2"/>
              </a:solidFill>
              <a:round/>
            </a:ln>
            <a:effectLst/>
          </c:spPr>
          <c:marker>
            <c:symbol val="none"/>
          </c:marker>
          <c:cat>
            <c:numRef>
              <c:f>'[Graficas  Corregidas (1).xlsx]Hoja1'!$C$3:$M$3</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'[Graficas  Corregidas (1).xlsx]Hoja1'!$C$5:$M$5</c:f>
              <c:numCache>
                <c:formatCode>0.00%</c:formatCode>
                <c:ptCount val="11"/>
                <c:pt idx="0">
                  <c:v>0.47399999999999998</c:v>
                </c:pt>
                <c:pt idx="1">
                  <c:v>0.45300000000000001</c:v>
                </c:pt>
                <c:pt idx="2" formatCode="0%">
                  <c:v>0.43200000000000216</c:v>
                </c:pt>
                <c:pt idx="3" formatCode="0%">
                  <c:v>0.41100000000000136</c:v>
                </c:pt>
                <c:pt idx="4" formatCode="0.0%">
                  <c:v>0.42</c:v>
                </c:pt>
                <c:pt idx="5" formatCode="0.0%">
                  <c:v>0.40300000000000002</c:v>
                </c:pt>
                <c:pt idx="6" formatCode="0.0%">
                  <c:v>0.372</c:v>
                </c:pt>
                <c:pt idx="7" formatCode="0.0%">
                  <c:v>0.34100000000000003</c:v>
                </c:pt>
                <c:pt idx="8" formatCode="0.0%">
                  <c:v>0.32700000000000001</c:v>
                </c:pt>
                <c:pt idx="9" formatCode="0%">
                  <c:v>0.30599999999999999</c:v>
                </c:pt>
                <c:pt idx="10" formatCode="0.0%">
                  <c:v>0.28499999999999998</c:v>
                </c:pt>
              </c:numCache>
            </c:numRef>
          </c:val>
          <c:smooth val="0"/>
        </c:ser>
        <c:dLbls>
          <c:showLegendKey val="0"/>
          <c:showVal val="0"/>
          <c:showCatName val="0"/>
          <c:showSerName val="0"/>
          <c:showPercent val="0"/>
          <c:showBubbleSize val="0"/>
        </c:dLbls>
        <c:marker val="1"/>
        <c:smooth val="0"/>
        <c:axId val="-1984672032"/>
        <c:axId val="-1984666592"/>
      </c:lineChart>
      <c:catAx>
        <c:axId val="-1984666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84667136"/>
        <c:crosses val="autoZero"/>
        <c:auto val="1"/>
        <c:lblAlgn val="ctr"/>
        <c:lblOffset val="100"/>
        <c:noMultiLvlLbl val="0"/>
      </c:catAx>
      <c:valAx>
        <c:axId val="-1984667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84666048"/>
        <c:crosses val="autoZero"/>
        <c:crossBetween val="between"/>
      </c:valAx>
      <c:valAx>
        <c:axId val="-1984666592"/>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84672032"/>
        <c:crosses val="max"/>
        <c:crossBetween val="between"/>
      </c:valAx>
      <c:catAx>
        <c:axId val="-1984672032"/>
        <c:scaling>
          <c:orientation val="minMax"/>
        </c:scaling>
        <c:delete val="1"/>
        <c:axPos val="b"/>
        <c:numFmt formatCode="General" sourceLinked="1"/>
        <c:majorTickMark val="out"/>
        <c:minorTickMark val="none"/>
        <c:tickLblPos val="nextTo"/>
        <c:crossAx val="-198466659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min15</b:Tag>
    <b:SourceType>InternetSite</b:SourceType>
    <b:Guid>{4C026E75-304A-4FF9-B6E2-F6B53C8CACA0}</b:Guid>
    <b:Title>Semana</b:Title>
    <b:Year>2015</b:Year>
    <b:Month>marzo</b:Month>
    <b:Day>24</b:Day>
    <b:URL>http://www.semana.com/nacion/articulo/44-millones-de-colombianos-han-salido-de-la-pobreza-gobierno/422041-3</b:URL>
    <b:LCID>es-CO</b:LCID>
    <b:RefOrder>1</b:RefOrder>
  </b:Source>
</b:Sources>
</file>

<file path=customXml/itemProps1.xml><?xml version="1.0" encoding="utf-8"?>
<ds:datastoreItem xmlns:ds="http://schemas.openxmlformats.org/officeDocument/2006/customXml" ds:itemID="{855275D6-C89D-4785-A097-86E21E7E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5185</Words>
  <Characters>28520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Fernando Henao Martinez</dc:creator>
  <cp:lastModifiedBy>admin</cp:lastModifiedBy>
  <cp:revision>2</cp:revision>
  <cp:lastPrinted>2015-09-30T20:46:00Z</cp:lastPrinted>
  <dcterms:created xsi:type="dcterms:W3CDTF">2015-09-30T20:57:00Z</dcterms:created>
  <dcterms:modified xsi:type="dcterms:W3CDTF">2015-09-30T20:57:00Z</dcterms:modified>
</cp:coreProperties>
</file>